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B817D9" w:rsidRDefault="001F0676" w:rsidP="000B66BC">
      <w:pPr>
        <w:spacing w:after="240"/>
        <w:jc w:val="center"/>
        <w:rPr>
          <w:rFonts w:ascii="Times New Roman" w:hAnsi="Times New Roman"/>
          <w:sz w:val="24"/>
          <w:szCs w:val="24"/>
        </w:rPr>
      </w:pPr>
    </w:p>
    <w:p w14:paraId="6E4B8B64" w14:textId="77777777" w:rsidR="00BB7DB0" w:rsidRPr="00B817D9" w:rsidRDefault="00BB7DB0" w:rsidP="000B66BC">
      <w:pPr>
        <w:spacing w:after="240"/>
        <w:jc w:val="center"/>
        <w:rPr>
          <w:rFonts w:ascii="Times New Roman" w:hAnsi="Times New Roman"/>
          <w:sz w:val="24"/>
          <w:szCs w:val="24"/>
        </w:rPr>
      </w:pPr>
    </w:p>
    <w:p w14:paraId="764E2AE3" w14:textId="77777777" w:rsidR="00D0488C" w:rsidRPr="00B817D9" w:rsidRDefault="00D0488C" w:rsidP="00D0488C">
      <w:pPr>
        <w:jc w:val="center"/>
        <w:rPr>
          <w:rFonts w:ascii="Times New Roman" w:hAnsi="Times New Roman"/>
          <w:color w:val="auto"/>
          <w:sz w:val="24"/>
        </w:rPr>
      </w:pPr>
      <w:r w:rsidRPr="00B817D9">
        <w:rPr>
          <w:rFonts w:ascii="Times New Roman" w:hAnsi="Times New Roman"/>
          <w:sz w:val="24"/>
        </w:rPr>
        <w:t>PL</w:t>
      </w:r>
    </w:p>
    <w:p w14:paraId="2FD0301D" w14:textId="77777777" w:rsidR="00D0488C" w:rsidRPr="00B817D9" w:rsidRDefault="00D0488C" w:rsidP="00D0488C">
      <w:pPr>
        <w:rPr>
          <w:rFonts w:asciiTheme="minorHAnsi" w:hAnsiTheme="minorHAnsi"/>
          <w:sz w:val="22"/>
        </w:rPr>
      </w:pPr>
    </w:p>
    <w:p w14:paraId="632F6520" w14:textId="77777777" w:rsidR="001807E9" w:rsidRPr="00B817D9" w:rsidRDefault="001807E9" w:rsidP="000B66BC">
      <w:pPr>
        <w:spacing w:after="240"/>
        <w:jc w:val="center"/>
        <w:rPr>
          <w:rFonts w:ascii="Times New Roman" w:hAnsi="Times New Roman"/>
          <w:sz w:val="24"/>
          <w:szCs w:val="24"/>
        </w:rPr>
      </w:pPr>
    </w:p>
    <w:p w14:paraId="2C4768C0" w14:textId="77777777" w:rsidR="00A15D28" w:rsidRPr="00B817D9" w:rsidRDefault="00A15D28" w:rsidP="000B66BC">
      <w:pPr>
        <w:spacing w:after="240"/>
        <w:jc w:val="center"/>
        <w:rPr>
          <w:rFonts w:ascii="Times New Roman" w:hAnsi="Times New Roman"/>
          <w:sz w:val="24"/>
          <w:szCs w:val="24"/>
        </w:rPr>
      </w:pPr>
      <w:r w:rsidRPr="00B817D9">
        <w:rPr>
          <w:rFonts w:ascii="Times New Roman" w:hAnsi="Times New Roman"/>
          <w:sz w:val="24"/>
        </w:rPr>
        <w:t>ZAŁĄCZNIK XI</w:t>
      </w:r>
    </w:p>
    <w:p w14:paraId="4A8A4559" w14:textId="0A064FD8" w:rsidR="00A15D28" w:rsidRPr="00B817D9" w:rsidRDefault="00A84D67" w:rsidP="000B66BC">
      <w:pPr>
        <w:spacing w:after="240"/>
        <w:jc w:val="center"/>
        <w:rPr>
          <w:rFonts w:ascii="Times New Roman" w:hAnsi="Times New Roman"/>
          <w:sz w:val="24"/>
          <w:szCs w:val="24"/>
        </w:rPr>
      </w:pPr>
      <w:r w:rsidRPr="00B817D9">
        <w:rPr>
          <w:rFonts w:ascii="Times New Roman" w:hAnsi="Times New Roman"/>
          <w:b/>
          <w:sz w:val="24"/>
        </w:rPr>
        <w:t>INSTRUKCJE DOTYCZĄCE SPRAWOZDAWCZOŚCI W ZAKRESIE DŹWIGNI FINANSOWEJ</w:t>
      </w:r>
    </w:p>
    <w:p w14:paraId="359338A1" w14:textId="77777777" w:rsidR="00F4754B" w:rsidRPr="00B817D9" w:rsidRDefault="00F4754B" w:rsidP="000B66BC">
      <w:pPr>
        <w:pStyle w:val="BodyText1"/>
        <w:spacing w:after="240"/>
        <w:rPr>
          <w:rFonts w:ascii="Times New Roman" w:hAnsi="Times New Roman"/>
          <w:sz w:val="24"/>
          <w:szCs w:val="24"/>
        </w:rPr>
      </w:pPr>
    </w:p>
    <w:p w14:paraId="6BF05566" w14:textId="77777777" w:rsidR="00A15D28" w:rsidRPr="00B817D9" w:rsidRDefault="00A15D28" w:rsidP="000B66BC">
      <w:pPr>
        <w:pStyle w:val="BodyText1"/>
        <w:spacing w:after="240"/>
        <w:rPr>
          <w:rFonts w:ascii="Times New Roman" w:hAnsi="Times New Roman"/>
          <w:sz w:val="24"/>
          <w:szCs w:val="24"/>
        </w:rPr>
      </w:pPr>
    </w:p>
    <w:p w14:paraId="7E090CE2" w14:textId="77777777" w:rsidR="00F4754B" w:rsidRPr="00B817D9" w:rsidRDefault="00F4754B" w:rsidP="000B66BC">
      <w:pPr>
        <w:pStyle w:val="BodyText1"/>
        <w:spacing w:after="240"/>
        <w:rPr>
          <w:rFonts w:ascii="Times New Roman" w:hAnsi="Times New Roman"/>
          <w:sz w:val="24"/>
          <w:szCs w:val="24"/>
        </w:rPr>
      </w:pPr>
    </w:p>
    <w:p w14:paraId="3C402A6B" w14:textId="77777777" w:rsidR="009112BB" w:rsidRPr="00B817D9" w:rsidRDefault="009112BB" w:rsidP="000B66BC">
      <w:pPr>
        <w:pStyle w:val="BodyText1"/>
        <w:spacing w:after="240"/>
        <w:ind w:left="720"/>
        <w:rPr>
          <w:rFonts w:ascii="Times New Roman" w:hAnsi="Times New Roman"/>
          <w:sz w:val="24"/>
          <w:szCs w:val="24"/>
        </w:rPr>
      </w:pPr>
    </w:p>
    <w:p w14:paraId="32179070" w14:textId="1C044E49" w:rsidR="00F81F7A" w:rsidRPr="00B817D9" w:rsidRDefault="00391EF9">
      <w:pPr>
        <w:pStyle w:val="TOC1"/>
        <w:rPr>
          <w:rFonts w:asciiTheme="minorHAnsi" w:eastAsiaTheme="minorEastAsia" w:hAnsiTheme="minorHAnsi" w:cstheme="minorBidi"/>
          <w:noProof w:val="0"/>
          <w:color w:val="auto"/>
          <w:kern w:val="2"/>
          <w:sz w:val="24"/>
          <w:szCs w:val="24"/>
          <w:lang w:eastAsia="en-IE"/>
          <w14:ligatures w14:val="standardContextual"/>
        </w:rPr>
      </w:pPr>
      <w:r w:rsidRPr="00B817D9">
        <w:rPr>
          <w:rFonts w:ascii="Times New Roman" w:hAnsi="Times New Roman"/>
          <w:b/>
          <w:noProof w:val="0"/>
          <w:sz w:val="24"/>
        </w:rPr>
        <w:fldChar w:fldCharType="begin"/>
      </w:r>
      <w:r w:rsidRPr="00B817D9">
        <w:rPr>
          <w:rFonts w:ascii="Times New Roman" w:hAnsi="Times New Roman"/>
          <w:b/>
          <w:noProof w:val="0"/>
          <w:sz w:val="24"/>
        </w:rPr>
        <w:instrText xml:space="preserve"> TOC \o "1-3" \h \z \u </w:instrText>
      </w:r>
      <w:r w:rsidRPr="00B817D9">
        <w:rPr>
          <w:rFonts w:ascii="Times New Roman" w:hAnsi="Times New Roman"/>
          <w:b/>
          <w:noProof w:val="0"/>
          <w:sz w:val="24"/>
        </w:rPr>
        <w:fldChar w:fldCharType="separate"/>
      </w:r>
      <w:hyperlink w:anchor="_Toc188604475" w:history="1">
        <w:r w:rsidR="00F81F7A" w:rsidRPr="00B817D9">
          <w:rPr>
            <w:rStyle w:val="Hyperlink"/>
            <w:rFonts w:ascii="Times New Roman" w:hAnsi="Times New Roman"/>
            <w:b/>
            <w:noProof w:val="0"/>
          </w:rPr>
          <w:t>CZĘŚĆ I: INSTRUKCJE OGÓLNE</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_Toc188604475 \h </w:instrText>
        </w:r>
        <w:r w:rsidR="00F81F7A" w:rsidRPr="00B817D9">
          <w:rPr>
            <w:noProof w:val="0"/>
            <w:webHidden/>
          </w:rPr>
        </w:r>
        <w:r w:rsidR="00F81F7A" w:rsidRPr="00B817D9">
          <w:rPr>
            <w:noProof w:val="0"/>
            <w:webHidden/>
          </w:rPr>
          <w:fldChar w:fldCharType="separate"/>
        </w:r>
        <w:r w:rsidR="00F81F7A" w:rsidRPr="00B817D9">
          <w:rPr>
            <w:noProof w:val="0"/>
            <w:webHidden/>
          </w:rPr>
          <w:t>2</w:t>
        </w:r>
        <w:r w:rsidR="00F81F7A" w:rsidRPr="00B817D9">
          <w:rPr>
            <w:noProof w:val="0"/>
            <w:webHidden/>
          </w:rPr>
          <w:fldChar w:fldCharType="end"/>
        </w:r>
      </w:hyperlink>
    </w:p>
    <w:p w14:paraId="4D0CE736" w14:textId="4A78DEB1" w:rsidR="00F81F7A" w:rsidRPr="00B817D9" w:rsidRDefault="00B817D9">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604476" w:history="1">
        <w:r w:rsidR="00F81F7A" w:rsidRPr="00B817D9">
          <w:rPr>
            <w:rStyle w:val="Hyperlink"/>
            <w:rFonts w:ascii="Times New Roman" w:hAnsi="Times New Roman"/>
            <w:noProof w:val="0"/>
          </w:rPr>
          <w:t>1.</w:t>
        </w:r>
        <w:r w:rsidR="00F81F7A" w:rsidRPr="00B817D9">
          <w:rPr>
            <w:rFonts w:asciiTheme="minorHAnsi" w:eastAsiaTheme="minorEastAsia" w:hAnsiTheme="minorHAnsi" w:cstheme="minorBidi"/>
            <w:b w:val="0"/>
            <w:smallCaps w:val="0"/>
            <w:noProof w:val="0"/>
            <w:kern w:val="2"/>
            <w:sz w:val="24"/>
            <w:szCs w:val="24"/>
            <w:lang w:eastAsia="en-IE"/>
            <w14:ligatures w14:val="standardContextual"/>
          </w:rPr>
          <w:tab/>
        </w:r>
        <w:r w:rsidR="00F81F7A" w:rsidRPr="00B817D9">
          <w:rPr>
            <w:rStyle w:val="Hyperlink"/>
            <w:rFonts w:ascii="Times New Roman" w:hAnsi="Times New Roman"/>
            <w:noProof w:val="0"/>
          </w:rPr>
          <w:t>Struktura</w:t>
        </w:r>
        <w:r w:rsidRPr="00B817D9">
          <w:rPr>
            <w:rStyle w:val="Hyperlink"/>
            <w:rFonts w:ascii="Times New Roman" w:hAnsi="Times New Roman"/>
            <w:noProof w:val="0"/>
          </w:rPr>
          <w:t xml:space="preserve"> i</w:t>
        </w:r>
        <w:r>
          <w:rPr>
            <w:rStyle w:val="Hyperlink"/>
            <w:rFonts w:ascii="Times New Roman" w:hAnsi="Times New Roman"/>
            <w:noProof w:val="0"/>
          </w:rPr>
          <w:t> </w:t>
        </w:r>
        <w:r w:rsidRPr="00B817D9">
          <w:rPr>
            <w:rStyle w:val="Hyperlink"/>
            <w:rFonts w:ascii="Times New Roman" w:hAnsi="Times New Roman"/>
            <w:noProof w:val="0"/>
          </w:rPr>
          <w:t>inn</w:t>
        </w:r>
        <w:r w:rsidR="00F81F7A" w:rsidRPr="00B817D9">
          <w:rPr>
            <w:rStyle w:val="Hyperlink"/>
            <w:rFonts w:ascii="Times New Roman" w:hAnsi="Times New Roman"/>
            <w:noProof w:val="0"/>
          </w:rPr>
          <w:t>e konwencje</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_Toc188604476 \h </w:instrText>
        </w:r>
        <w:r w:rsidR="00F81F7A" w:rsidRPr="00B817D9">
          <w:rPr>
            <w:noProof w:val="0"/>
            <w:webHidden/>
          </w:rPr>
        </w:r>
        <w:r w:rsidR="00F81F7A" w:rsidRPr="00B817D9">
          <w:rPr>
            <w:noProof w:val="0"/>
            <w:webHidden/>
          </w:rPr>
          <w:fldChar w:fldCharType="separate"/>
        </w:r>
        <w:r w:rsidR="00F81F7A" w:rsidRPr="00B817D9">
          <w:rPr>
            <w:noProof w:val="0"/>
            <w:webHidden/>
          </w:rPr>
          <w:t>2</w:t>
        </w:r>
        <w:r w:rsidR="00F81F7A" w:rsidRPr="00B817D9">
          <w:rPr>
            <w:noProof w:val="0"/>
            <w:webHidden/>
          </w:rPr>
          <w:fldChar w:fldCharType="end"/>
        </w:r>
      </w:hyperlink>
    </w:p>
    <w:p w14:paraId="030EEA3F" w14:textId="4561B89D" w:rsidR="00F81F7A" w:rsidRPr="00B817D9" w:rsidRDefault="00B817D9">
      <w:pPr>
        <w:pStyle w:val="TOC3"/>
        <w:rPr>
          <w:rFonts w:asciiTheme="minorHAnsi" w:eastAsiaTheme="minorEastAsia" w:hAnsiTheme="minorHAnsi" w:cstheme="minorBidi"/>
          <w:smallCaps w:val="0"/>
          <w:noProof w:val="0"/>
          <w:kern w:val="2"/>
          <w:sz w:val="24"/>
          <w:lang w:eastAsia="en-IE"/>
          <w14:ligatures w14:val="standardContextual"/>
        </w:rPr>
      </w:pPr>
      <w:hyperlink w:anchor="_Toc188604477" w:history="1">
        <w:r w:rsidR="00F81F7A" w:rsidRPr="00B817D9">
          <w:rPr>
            <w:rStyle w:val="Hyperlink"/>
            <w:rFonts w:ascii="Times New Roman" w:hAnsi="Times New Roman"/>
            <w:b/>
            <w:noProof w:val="0"/>
          </w:rPr>
          <w:t>1.1.</w:t>
        </w:r>
        <w:r w:rsidR="00F81F7A" w:rsidRPr="00B817D9">
          <w:rPr>
            <w:rFonts w:asciiTheme="minorHAnsi" w:eastAsiaTheme="minorEastAsia" w:hAnsiTheme="minorHAnsi" w:cstheme="minorBidi"/>
            <w:smallCaps w:val="0"/>
            <w:noProof w:val="0"/>
            <w:kern w:val="2"/>
            <w:sz w:val="24"/>
            <w:lang w:eastAsia="en-IE"/>
            <w14:ligatures w14:val="standardContextual"/>
          </w:rPr>
          <w:tab/>
        </w:r>
        <w:r w:rsidR="00F81F7A" w:rsidRPr="00B817D9">
          <w:rPr>
            <w:rStyle w:val="Hyperlink"/>
            <w:rFonts w:ascii="Times New Roman" w:hAnsi="Times New Roman"/>
            <w:b/>
            <w:noProof w:val="0"/>
          </w:rPr>
          <w:t>Struktura</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_Toc188604477 \h </w:instrText>
        </w:r>
        <w:r w:rsidR="00F81F7A" w:rsidRPr="00B817D9">
          <w:rPr>
            <w:noProof w:val="0"/>
            <w:webHidden/>
          </w:rPr>
        </w:r>
        <w:r w:rsidR="00F81F7A" w:rsidRPr="00B817D9">
          <w:rPr>
            <w:noProof w:val="0"/>
            <w:webHidden/>
          </w:rPr>
          <w:fldChar w:fldCharType="separate"/>
        </w:r>
        <w:r w:rsidR="00F81F7A" w:rsidRPr="00B817D9">
          <w:rPr>
            <w:noProof w:val="0"/>
            <w:webHidden/>
          </w:rPr>
          <w:t>2</w:t>
        </w:r>
        <w:r w:rsidR="00F81F7A" w:rsidRPr="00B817D9">
          <w:rPr>
            <w:noProof w:val="0"/>
            <w:webHidden/>
          </w:rPr>
          <w:fldChar w:fldCharType="end"/>
        </w:r>
      </w:hyperlink>
    </w:p>
    <w:p w14:paraId="6E3D2E61" w14:textId="1E8A30B7" w:rsidR="00F81F7A" w:rsidRPr="00B817D9" w:rsidRDefault="00B817D9">
      <w:pPr>
        <w:pStyle w:val="TOC3"/>
        <w:rPr>
          <w:rFonts w:asciiTheme="minorHAnsi" w:eastAsiaTheme="minorEastAsia" w:hAnsiTheme="minorHAnsi" w:cstheme="minorBidi"/>
          <w:smallCaps w:val="0"/>
          <w:noProof w:val="0"/>
          <w:kern w:val="2"/>
          <w:sz w:val="24"/>
          <w:lang w:eastAsia="en-IE"/>
          <w14:ligatures w14:val="standardContextual"/>
        </w:rPr>
      </w:pPr>
      <w:hyperlink w:anchor="_Toc188604478" w:history="1">
        <w:r w:rsidR="00F81F7A" w:rsidRPr="00B817D9">
          <w:rPr>
            <w:rStyle w:val="Hyperlink"/>
            <w:rFonts w:ascii="Times New Roman" w:hAnsi="Times New Roman"/>
            <w:b/>
            <w:noProof w:val="0"/>
          </w:rPr>
          <w:t>1.2.</w:t>
        </w:r>
        <w:r w:rsidR="00F81F7A" w:rsidRPr="00B817D9">
          <w:rPr>
            <w:rFonts w:asciiTheme="minorHAnsi" w:eastAsiaTheme="minorEastAsia" w:hAnsiTheme="minorHAnsi" w:cstheme="minorBidi"/>
            <w:smallCaps w:val="0"/>
            <w:noProof w:val="0"/>
            <w:kern w:val="2"/>
            <w:sz w:val="24"/>
            <w:lang w:eastAsia="en-IE"/>
            <w14:ligatures w14:val="standardContextual"/>
          </w:rPr>
          <w:tab/>
        </w:r>
        <w:r w:rsidR="00F81F7A" w:rsidRPr="00B817D9">
          <w:rPr>
            <w:rStyle w:val="Hyperlink"/>
            <w:rFonts w:ascii="Times New Roman" w:hAnsi="Times New Roman"/>
            <w:b/>
            <w:noProof w:val="0"/>
          </w:rPr>
          <w:t>Konwencja numerowania</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_Toc188604478 \h </w:instrText>
        </w:r>
        <w:r w:rsidR="00F81F7A" w:rsidRPr="00B817D9">
          <w:rPr>
            <w:noProof w:val="0"/>
            <w:webHidden/>
          </w:rPr>
        </w:r>
        <w:r w:rsidR="00F81F7A" w:rsidRPr="00B817D9">
          <w:rPr>
            <w:noProof w:val="0"/>
            <w:webHidden/>
          </w:rPr>
          <w:fldChar w:fldCharType="separate"/>
        </w:r>
        <w:r w:rsidR="00F81F7A" w:rsidRPr="00B817D9">
          <w:rPr>
            <w:noProof w:val="0"/>
            <w:webHidden/>
          </w:rPr>
          <w:t>2</w:t>
        </w:r>
        <w:r w:rsidR="00F81F7A" w:rsidRPr="00B817D9">
          <w:rPr>
            <w:noProof w:val="0"/>
            <w:webHidden/>
          </w:rPr>
          <w:fldChar w:fldCharType="end"/>
        </w:r>
      </w:hyperlink>
    </w:p>
    <w:p w14:paraId="3C29219F" w14:textId="6726F40A" w:rsidR="00F81F7A" w:rsidRPr="00B817D9" w:rsidRDefault="00B817D9">
      <w:pPr>
        <w:pStyle w:val="TOC3"/>
        <w:rPr>
          <w:rFonts w:asciiTheme="minorHAnsi" w:eastAsiaTheme="minorEastAsia" w:hAnsiTheme="minorHAnsi" w:cstheme="minorBidi"/>
          <w:smallCaps w:val="0"/>
          <w:noProof w:val="0"/>
          <w:kern w:val="2"/>
          <w:sz w:val="24"/>
          <w:lang w:eastAsia="en-IE"/>
          <w14:ligatures w14:val="standardContextual"/>
        </w:rPr>
      </w:pPr>
      <w:hyperlink w:anchor="_Toc188604479" w:history="1">
        <w:r w:rsidR="00F81F7A" w:rsidRPr="00B817D9">
          <w:rPr>
            <w:rStyle w:val="Hyperlink"/>
            <w:rFonts w:ascii="Times New Roman" w:hAnsi="Times New Roman"/>
            <w:b/>
            <w:noProof w:val="0"/>
          </w:rPr>
          <w:t>1.3.</w:t>
        </w:r>
        <w:r w:rsidR="00F81F7A" w:rsidRPr="00B817D9">
          <w:rPr>
            <w:rFonts w:asciiTheme="minorHAnsi" w:eastAsiaTheme="minorEastAsia" w:hAnsiTheme="minorHAnsi" w:cstheme="minorBidi"/>
            <w:smallCaps w:val="0"/>
            <w:noProof w:val="0"/>
            <w:kern w:val="2"/>
            <w:sz w:val="24"/>
            <w:lang w:eastAsia="en-IE"/>
            <w14:ligatures w14:val="standardContextual"/>
          </w:rPr>
          <w:tab/>
        </w:r>
        <w:r w:rsidR="00F81F7A" w:rsidRPr="00B817D9">
          <w:rPr>
            <w:rStyle w:val="Hyperlink"/>
            <w:rFonts w:ascii="Times New Roman" w:hAnsi="Times New Roman"/>
            <w:b/>
            <w:noProof w:val="0"/>
          </w:rPr>
          <w:t>Skróty</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_Toc188604479 \h </w:instrText>
        </w:r>
        <w:r w:rsidR="00F81F7A" w:rsidRPr="00B817D9">
          <w:rPr>
            <w:noProof w:val="0"/>
            <w:webHidden/>
          </w:rPr>
        </w:r>
        <w:r w:rsidR="00F81F7A" w:rsidRPr="00B817D9">
          <w:rPr>
            <w:noProof w:val="0"/>
            <w:webHidden/>
          </w:rPr>
          <w:fldChar w:fldCharType="separate"/>
        </w:r>
        <w:r w:rsidR="00F81F7A" w:rsidRPr="00B817D9">
          <w:rPr>
            <w:noProof w:val="0"/>
            <w:webHidden/>
          </w:rPr>
          <w:t>2</w:t>
        </w:r>
        <w:r w:rsidR="00F81F7A" w:rsidRPr="00B817D9">
          <w:rPr>
            <w:noProof w:val="0"/>
            <w:webHidden/>
          </w:rPr>
          <w:fldChar w:fldCharType="end"/>
        </w:r>
      </w:hyperlink>
    </w:p>
    <w:p w14:paraId="10FBAE33" w14:textId="68847AD0" w:rsidR="00F81F7A" w:rsidRPr="00B817D9" w:rsidRDefault="00B817D9">
      <w:pPr>
        <w:pStyle w:val="TOC3"/>
        <w:rPr>
          <w:rFonts w:asciiTheme="minorHAnsi" w:eastAsiaTheme="minorEastAsia" w:hAnsiTheme="minorHAnsi" w:cstheme="minorBidi"/>
          <w:smallCaps w:val="0"/>
          <w:noProof w:val="0"/>
          <w:kern w:val="2"/>
          <w:sz w:val="24"/>
          <w:lang w:eastAsia="en-IE"/>
          <w14:ligatures w14:val="standardContextual"/>
        </w:rPr>
      </w:pPr>
      <w:hyperlink w:anchor="_Toc188604480" w:history="1">
        <w:r w:rsidR="00F81F7A" w:rsidRPr="00B817D9">
          <w:rPr>
            <w:rStyle w:val="Hyperlink"/>
            <w:rFonts w:ascii="Times New Roman" w:hAnsi="Times New Roman"/>
            <w:b/>
            <w:noProof w:val="0"/>
          </w:rPr>
          <w:t>1.4.</w:t>
        </w:r>
        <w:r w:rsidR="00F81F7A" w:rsidRPr="00B817D9">
          <w:rPr>
            <w:rFonts w:asciiTheme="minorHAnsi" w:eastAsiaTheme="minorEastAsia" w:hAnsiTheme="minorHAnsi" w:cstheme="minorBidi"/>
            <w:smallCaps w:val="0"/>
            <w:noProof w:val="0"/>
            <w:kern w:val="2"/>
            <w:sz w:val="24"/>
            <w:lang w:eastAsia="en-IE"/>
            <w14:ligatures w14:val="standardContextual"/>
          </w:rPr>
          <w:tab/>
        </w:r>
        <w:r w:rsidR="00F81F7A" w:rsidRPr="00B817D9">
          <w:rPr>
            <w:rStyle w:val="Hyperlink"/>
            <w:rFonts w:ascii="Times New Roman" w:hAnsi="Times New Roman"/>
            <w:b/>
            <w:noProof w:val="0"/>
          </w:rPr>
          <w:t>Konwencja znaku</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_Toc188604480 \h </w:instrText>
        </w:r>
        <w:r w:rsidR="00F81F7A" w:rsidRPr="00B817D9">
          <w:rPr>
            <w:noProof w:val="0"/>
            <w:webHidden/>
          </w:rPr>
        </w:r>
        <w:r w:rsidR="00F81F7A" w:rsidRPr="00B817D9">
          <w:rPr>
            <w:noProof w:val="0"/>
            <w:webHidden/>
          </w:rPr>
          <w:fldChar w:fldCharType="separate"/>
        </w:r>
        <w:r w:rsidR="00F81F7A" w:rsidRPr="00B817D9">
          <w:rPr>
            <w:noProof w:val="0"/>
            <w:webHidden/>
          </w:rPr>
          <w:t>3</w:t>
        </w:r>
        <w:r w:rsidR="00F81F7A" w:rsidRPr="00B817D9">
          <w:rPr>
            <w:noProof w:val="0"/>
            <w:webHidden/>
          </w:rPr>
          <w:fldChar w:fldCharType="end"/>
        </w:r>
      </w:hyperlink>
    </w:p>
    <w:p w14:paraId="2256A169" w14:textId="64D4CB67" w:rsidR="00F81F7A" w:rsidRPr="00B817D9" w:rsidRDefault="00B817D9">
      <w:pPr>
        <w:pStyle w:val="TOC1"/>
        <w:rPr>
          <w:rFonts w:asciiTheme="minorHAnsi" w:eastAsiaTheme="minorEastAsia" w:hAnsiTheme="minorHAnsi" w:cstheme="minorBidi"/>
          <w:noProof w:val="0"/>
          <w:color w:val="auto"/>
          <w:kern w:val="2"/>
          <w:sz w:val="24"/>
          <w:szCs w:val="24"/>
          <w:lang w:eastAsia="en-IE"/>
          <w14:ligatures w14:val="standardContextual"/>
        </w:rPr>
      </w:pPr>
      <w:hyperlink w:anchor="_Toc188604481" w:history="1">
        <w:r w:rsidR="00F81F7A" w:rsidRPr="00B817D9">
          <w:rPr>
            <w:rStyle w:val="Hyperlink"/>
            <w:rFonts w:ascii="Times New Roman" w:hAnsi="Times New Roman"/>
            <w:b/>
            <w:noProof w:val="0"/>
          </w:rPr>
          <w:t>CZĘŚĆ II: INSTRUKCJE DOTYCZĄCE WZORÓW</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_Toc188604481 \h </w:instrText>
        </w:r>
        <w:r w:rsidR="00F81F7A" w:rsidRPr="00B817D9">
          <w:rPr>
            <w:noProof w:val="0"/>
            <w:webHidden/>
          </w:rPr>
        </w:r>
        <w:r w:rsidR="00F81F7A" w:rsidRPr="00B817D9">
          <w:rPr>
            <w:noProof w:val="0"/>
            <w:webHidden/>
          </w:rPr>
          <w:fldChar w:fldCharType="separate"/>
        </w:r>
        <w:r w:rsidR="00F81F7A" w:rsidRPr="00B817D9">
          <w:rPr>
            <w:noProof w:val="0"/>
            <w:webHidden/>
          </w:rPr>
          <w:t>4</w:t>
        </w:r>
        <w:r w:rsidR="00F81F7A" w:rsidRPr="00B817D9">
          <w:rPr>
            <w:noProof w:val="0"/>
            <w:webHidden/>
          </w:rPr>
          <w:fldChar w:fldCharType="end"/>
        </w:r>
      </w:hyperlink>
    </w:p>
    <w:p w14:paraId="707B0C89" w14:textId="513B3BA4" w:rsidR="00F81F7A" w:rsidRPr="00B817D9" w:rsidRDefault="00B817D9">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604482" w:history="1">
        <w:r w:rsidR="00F81F7A" w:rsidRPr="00B817D9">
          <w:rPr>
            <w:rStyle w:val="Hyperlink"/>
            <w:rFonts w:ascii="Times New Roman" w:hAnsi="Times New Roman"/>
            <w:noProof w:val="0"/>
          </w:rPr>
          <w:t>1.</w:t>
        </w:r>
        <w:r w:rsidR="00F81F7A" w:rsidRPr="00B817D9">
          <w:rPr>
            <w:rFonts w:asciiTheme="minorHAnsi" w:eastAsiaTheme="minorEastAsia" w:hAnsiTheme="minorHAnsi" w:cstheme="minorBidi"/>
            <w:b w:val="0"/>
            <w:smallCaps w:val="0"/>
            <w:noProof w:val="0"/>
            <w:kern w:val="2"/>
            <w:sz w:val="24"/>
            <w:szCs w:val="24"/>
            <w:lang w:eastAsia="en-IE"/>
            <w14:ligatures w14:val="standardContextual"/>
          </w:rPr>
          <w:tab/>
        </w:r>
        <w:r w:rsidR="00F81F7A" w:rsidRPr="00B817D9">
          <w:rPr>
            <w:rStyle w:val="Hyperlink"/>
            <w:rFonts w:ascii="Times New Roman" w:hAnsi="Times New Roman"/>
            <w:noProof w:val="0"/>
          </w:rPr>
          <w:t>Wzory do obliczania wskaźnika dźwigni</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_Toc188604482 \h </w:instrText>
        </w:r>
        <w:r w:rsidR="00F81F7A" w:rsidRPr="00B817D9">
          <w:rPr>
            <w:noProof w:val="0"/>
            <w:webHidden/>
          </w:rPr>
        </w:r>
        <w:r w:rsidR="00F81F7A" w:rsidRPr="00B817D9">
          <w:rPr>
            <w:noProof w:val="0"/>
            <w:webHidden/>
          </w:rPr>
          <w:fldChar w:fldCharType="separate"/>
        </w:r>
        <w:r w:rsidR="00F81F7A" w:rsidRPr="00B817D9">
          <w:rPr>
            <w:noProof w:val="0"/>
            <w:webHidden/>
          </w:rPr>
          <w:t>4</w:t>
        </w:r>
        <w:r w:rsidR="00F81F7A" w:rsidRPr="00B817D9">
          <w:rPr>
            <w:noProof w:val="0"/>
            <w:webHidden/>
          </w:rPr>
          <w:fldChar w:fldCharType="end"/>
        </w:r>
      </w:hyperlink>
    </w:p>
    <w:p w14:paraId="3B9CEA57" w14:textId="4F5E4B89" w:rsidR="00F81F7A" w:rsidRPr="00B817D9" w:rsidRDefault="00B817D9">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604483" w:history="1">
        <w:r w:rsidR="00F81F7A" w:rsidRPr="00B817D9">
          <w:rPr>
            <w:rStyle w:val="Hyperlink"/>
            <w:rFonts w:ascii="Times New Roman" w:hAnsi="Times New Roman"/>
            <w:noProof w:val="0"/>
          </w:rPr>
          <w:t>2.</w:t>
        </w:r>
        <w:r w:rsidR="00F81F7A" w:rsidRPr="00B817D9">
          <w:rPr>
            <w:rFonts w:asciiTheme="minorHAnsi" w:eastAsiaTheme="minorEastAsia" w:hAnsiTheme="minorHAnsi" w:cstheme="minorBidi"/>
            <w:b w:val="0"/>
            <w:smallCaps w:val="0"/>
            <w:noProof w:val="0"/>
            <w:kern w:val="2"/>
            <w:sz w:val="24"/>
            <w:szCs w:val="24"/>
            <w:lang w:eastAsia="en-IE"/>
            <w14:ligatures w14:val="standardContextual"/>
          </w:rPr>
          <w:tab/>
        </w:r>
        <w:r w:rsidR="00F81F7A" w:rsidRPr="00B817D9">
          <w:rPr>
            <w:rStyle w:val="Hyperlink"/>
            <w:rFonts w:ascii="Times New Roman" w:hAnsi="Times New Roman"/>
            <w:noProof w:val="0"/>
          </w:rPr>
          <w:t>Progi istotności dla instrumentów pochodnych</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_Toc188604483 \h </w:instrText>
        </w:r>
        <w:r w:rsidR="00F81F7A" w:rsidRPr="00B817D9">
          <w:rPr>
            <w:noProof w:val="0"/>
            <w:webHidden/>
          </w:rPr>
        </w:r>
        <w:r w:rsidR="00F81F7A" w:rsidRPr="00B817D9">
          <w:rPr>
            <w:noProof w:val="0"/>
            <w:webHidden/>
          </w:rPr>
          <w:fldChar w:fldCharType="separate"/>
        </w:r>
        <w:r w:rsidR="00F81F7A" w:rsidRPr="00B817D9">
          <w:rPr>
            <w:noProof w:val="0"/>
            <w:webHidden/>
          </w:rPr>
          <w:t>4</w:t>
        </w:r>
        <w:r w:rsidR="00F81F7A" w:rsidRPr="00B817D9">
          <w:rPr>
            <w:noProof w:val="0"/>
            <w:webHidden/>
          </w:rPr>
          <w:fldChar w:fldCharType="end"/>
        </w:r>
      </w:hyperlink>
    </w:p>
    <w:p w14:paraId="0DD6EE24" w14:textId="63149483" w:rsidR="00F81F7A" w:rsidRPr="00B817D9" w:rsidRDefault="00B817D9">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604484" w:history="1">
        <w:r w:rsidR="00F81F7A" w:rsidRPr="00B817D9">
          <w:rPr>
            <w:rStyle w:val="Hyperlink"/>
            <w:rFonts w:ascii="Times New Roman" w:hAnsi="Times New Roman"/>
            <w:noProof w:val="0"/>
          </w:rPr>
          <w:t>3.</w:t>
        </w:r>
        <w:r w:rsidR="00F81F7A" w:rsidRPr="00B817D9">
          <w:rPr>
            <w:rFonts w:asciiTheme="minorHAnsi" w:eastAsiaTheme="minorEastAsia" w:hAnsiTheme="minorHAnsi" w:cstheme="minorBidi"/>
            <w:b w:val="0"/>
            <w:smallCaps w:val="0"/>
            <w:noProof w:val="0"/>
            <w:kern w:val="2"/>
            <w:sz w:val="24"/>
            <w:szCs w:val="24"/>
            <w:lang w:eastAsia="en-IE"/>
            <w14:ligatures w14:val="standardContextual"/>
          </w:rPr>
          <w:tab/>
        </w:r>
        <w:r w:rsidR="00F81F7A" w:rsidRPr="00B817D9">
          <w:rPr>
            <w:rStyle w:val="Hyperlink"/>
            <w:rFonts w:ascii="Times New Roman" w:hAnsi="Times New Roman"/>
            <w:noProof w:val="0"/>
          </w:rPr>
          <w:t>C 47.00 – Obliczanie wskaźnika dźwigni (LRCalc)</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_Toc188604484 \h </w:instrText>
        </w:r>
        <w:r w:rsidR="00F81F7A" w:rsidRPr="00B817D9">
          <w:rPr>
            <w:noProof w:val="0"/>
            <w:webHidden/>
          </w:rPr>
        </w:r>
        <w:r w:rsidR="00F81F7A" w:rsidRPr="00B817D9">
          <w:rPr>
            <w:noProof w:val="0"/>
            <w:webHidden/>
          </w:rPr>
          <w:fldChar w:fldCharType="separate"/>
        </w:r>
        <w:r w:rsidR="00F81F7A" w:rsidRPr="00B817D9">
          <w:rPr>
            <w:noProof w:val="0"/>
            <w:webHidden/>
          </w:rPr>
          <w:t>5</w:t>
        </w:r>
        <w:r w:rsidR="00F81F7A" w:rsidRPr="00B817D9">
          <w:rPr>
            <w:noProof w:val="0"/>
            <w:webHidden/>
          </w:rPr>
          <w:fldChar w:fldCharType="end"/>
        </w:r>
      </w:hyperlink>
    </w:p>
    <w:p w14:paraId="097A8916" w14:textId="218200FF" w:rsidR="00F81F7A" w:rsidRPr="00B817D9" w:rsidRDefault="00B817D9">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604485" w:history="1">
        <w:r w:rsidR="00F81F7A" w:rsidRPr="00B817D9">
          <w:rPr>
            <w:rStyle w:val="Hyperlink"/>
            <w:rFonts w:ascii="Times New Roman" w:hAnsi="Times New Roman"/>
            <w:noProof w:val="0"/>
          </w:rPr>
          <w:t>4.</w:t>
        </w:r>
        <w:r w:rsidR="00F81F7A" w:rsidRPr="00B817D9">
          <w:rPr>
            <w:rFonts w:asciiTheme="minorHAnsi" w:eastAsiaTheme="minorEastAsia" w:hAnsiTheme="minorHAnsi" w:cstheme="minorBidi"/>
            <w:b w:val="0"/>
            <w:smallCaps w:val="0"/>
            <w:noProof w:val="0"/>
            <w:kern w:val="2"/>
            <w:sz w:val="24"/>
            <w:szCs w:val="24"/>
            <w:lang w:eastAsia="en-IE"/>
            <w14:ligatures w14:val="standardContextual"/>
          </w:rPr>
          <w:tab/>
        </w:r>
        <w:r w:rsidR="00F81F7A" w:rsidRPr="00B817D9">
          <w:rPr>
            <w:rStyle w:val="Hyperlink"/>
            <w:rFonts w:ascii="Times New Roman" w:hAnsi="Times New Roman"/>
            <w:noProof w:val="0"/>
          </w:rPr>
          <w:t>C 40.00 – Podejście alternatywne do miary ekspozycji (LR1)</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_Toc188604485 \h </w:instrText>
        </w:r>
        <w:r w:rsidR="00F81F7A" w:rsidRPr="00B817D9">
          <w:rPr>
            <w:noProof w:val="0"/>
            <w:webHidden/>
          </w:rPr>
        </w:r>
        <w:r w:rsidR="00F81F7A" w:rsidRPr="00B817D9">
          <w:rPr>
            <w:noProof w:val="0"/>
            <w:webHidden/>
          </w:rPr>
          <w:fldChar w:fldCharType="separate"/>
        </w:r>
        <w:r w:rsidR="00F81F7A" w:rsidRPr="00B817D9">
          <w:rPr>
            <w:noProof w:val="0"/>
            <w:webHidden/>
          </w:rPr>
          <w:t>34</w:t>
        </w:r>
        <w:r w:rsidR="00F81F7A" w:rsidRPr="00B817D9">
          <w:rPr>
            <w:noProof w:val="0"/>
            <w:webHidden/>
          </w:rPr>
          <w:fldChar w:fldCharType="end"/>
        </w:r>
      </w:hyperlink>
    </w:p>
    <w:p w14:paraId="3CE9D8B3" w14:textId="2BA2BD47" w:rsidR="00F81F7A" w:rsidRPr="00B817D9" w:rsidRDefault="00B817D9">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604486" w:history="1">
        <w:r w:rsidR="00F81F7A" w:rsidRPr="00B817D9">
          <w:rPr>
            <w:rStyle w:val="Hyperlink"/>
            <w:rFonts w:ascii="Times New Roman" w:hAnsi="Times New Roman"/>
            <w:noProof w:val="0"/>
          </w:rPr>
          <w:t>5.</w:t>
        </w:r>
        <w:r w:rsidR="00F81F7A" w:rsidRPr="00B817D9">
          <w:rPr>
            <w:rFonts w:asciiTheme="minorHAnsi" w:eastAsiaTheme="minorEastAsia" w:hAnsiTheme="minorHAnsi" w:cstheme="minorBidi"/>
            <w:b w:val="0"/>
            <w:smallCaps w:val="0"/>
            <w:noProof w:val="0"/>
            <w:kern w:val="2"/>
            <w:sz w:val="24"/>
            <w:szCs w:val="24"/>
            <w:lang w:eastAsia="en-IE"/>
            <w14:ligatures w14:val="standardContextual"/>
          </w:rPr>
          <w:tab/>
        </w:r>
        <w:r w:rsidR="00F81F7A" w:rsidRPr="00B817D9">
          <w:rPr>
            <w:rStyle w:val="Hyperlink"/>
            <w:rFonts w:ascii="Times New Roman" w:hAnsi="Times New Roman"/>
            <w:noProof w:val="0"/>
          </w:rPr>
          <w:t>C 43.00 – Alternatywny podział składników miary ekspozycji wskaźnika dźwigni (LR4)</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_Toc188604486 \h </w:instrText>
        </w:r>
        <w:r w:rsidR="00F81F7A" w:rsidRPr="00B817D9">
          <w:rPr>
            <w:noProof w:val="0"/>
            <w:webHidden/>
          </w:rPr>
        </w:r>
        <w:r w:rsidR="00F81F7A" w:rsidRPr="00B817D9">
          <w:rPr>
            <w:noProof w:val="0"/>
            <w:webHidden/>
          </w:rPr>
          <w:fldChar w:fldCharType="separate"/>
        </w:r>
        <w:r w:rsidR="00F81F7A" w:rsidRPr="00B817D9">
          <w:rPr>
            <w:noProof w:val="0"/>
            <w:webHidden/>
          </w:rPr>
          <w:t>47</w:t>
        </w:r>
        <w:r w:rsidR="00F81F7A" w:rsidRPr="00B817D9">
          <w:rPr>
            <w:noProof w:val="0"/>
            <w:webHidden/>
          </w:rPr>
          <w:fldChar w:fldCharType="end"/>
        </w:r>
      </w:hyperlink>
    </w:p>
    <w:p w14:paraId="722B1E58" w14:textId="6E80A025" w:rsidR="00F81F7A" w:rsidRPr="00B817D9" w:rsidRDefault="00B817D9">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604487" w:history="1">
        <w:r w:rsidR="00F81F7A" w:rsidRPr="00B817D9">
          <w:rPr>
            <w:rStyle w:val="Hyperlink"/>
            <w:rFonts w:ascii="Times New Roman" w:hAnsi="Times New Roman"/>
            <w:noProof w:val="0"/>
          </w:rPr>
          <w:t>6.</w:t>
        </w:r>
        <w:r w:rsidR="00F81F7A" w:rsidRPr="00B817D9">
          <w:rPr>
            <w:rFonts w:asciiTheme="minorHAnsi" w:eastAsiaTheme="minorEastAsia" w:hAnsiTheme="minorHAnsi" w:cstheme="minorBidi"/>
            <w:b w:val="0"/>
            <w:smallCaps w:val="0"/>
            <w:noProof w:val="0"/>
            <w:kern w:val="2"/>
            <w:sz w:val="24"/>
            <w:szCs w:val="24"/>
            <w:lang w:eastAsia="en-IE"/>
            <w14:ligatures w14:val="standardContextual"/>
          </w:rPr>
          <w:tab/>
        </w:r>
        <w:r w:rsidR="00F81F7A" w:rsidRPr="00B817D9">
          <w:rPr>
            <w:rStyle w:val="Hyperlink"/>
            <w:rFonts w:ascii="Times New Roman" w:hAnsi="Times New Roman"/>
            <w:noProof w:val="0"/>
          </w:rPr>
          <w:t>C 44.00 – Informacje ogólne (LR5)</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_Toc188604487 \h </w:instrText>
        </w:r>
        <w:r w:rsidR="00F81F7A" w:rsidRPr="00B817D9">
          <w:rPr>
            <w:noProof w:val="0"/>
            <w:webHidden/>
          </w:rPr>
        </w:r>
        <w:r w:rsidR="00F81F7A" w:rsidRPr="00B817D9">
          <w:rPr>
            <w:noProof w:val="0"/>
            <w:webHidden/>
          </w:rPr>
          <w:fldChar w:fldCharType="separate"/>
        </w:r>
        <w:r w:rsidR="00F81F7A" w:rsidRPr="00B817D9">
          <w:rPr>
            <w:noProof w:val="0"/>
            <w:webHidden/>
          </w:rPr>
          <w:t>75</w:t>
        </w:r>
        <w:r w:rsidR="00F81F7A" w:rsidRPr="00B817D9">
          <w:rPr>
            <w:noProof w:val="0"/>
            <w:webHidden/>
          </w:rPr>
          <w:fldChar w:fldCharType="end"/>
        </w:r>
      </w:hyperlink>
    </w:p>
    <w:p w14:paraId="7B381591" w14:textId="065A99A2" w:rsidR="00F81F7A" w:rsidRPr="00B817D9" w:rsidRDefault="00B817D9">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604488" w:history="1">
        <w:r w:rsidR="00F81F7A" w:rsidRPr="00B817D9">
          <w:rPr>
            <w:rStyle w:val="Hyperlink"/>
            <w:rFonts w:ascii="Times New Roman" w:hAnsi="Times New Roman"/>
            <w:noProof w:val="0"/>
          </w:rPr>
          <w:t>7.</w:t>
        </w:r>
        <w:r w:rsidR="00F81F7A" w:rsidRPr="00B817D9">
          <w:rPr>
            <w:rFonts w:asciiTheme="minorHAnsi" w:eastAsiaTheme="minorEastAsia" w:hAnsiTheme="minorHAnsi" w:cstheme="minorBidi"/>
            <w:b w:val="0"/>
            <w:smallCaps w:val="0"/>
            <w:noProof w:val="0"/>
            <w:kern w:val="2"/>
            <w:sz w:val="24"/>
            <w:szCs w:val="24"/>
            <w:lang w:eastAsia="en-IE"/>
            <w14:ligatures w14:val="standardContextual"/>
          </w:rPr>
          <w:tab/>
        </w:r>
        <w:r w:rsidR="00F81F7A" w:rsidRPr="00B817D9">
          <w:rPr>
            <w:rStyle w:val="Hyperlink"/>
            <w:rFonts w:ascii="Times New Roman" w:hAnsi="Times New Roman"/>
            <w:noProof w:val="0"/>
          </w:rPr>
          <w:t>C 48.00 Zmienność wskaźnika dźwigni (LR6)</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_Toc188604488 \h </w:instrText>
        </w:r>
        <w:r w:rsidR="00F81F7A" w:rsidRPr="00B817D9">
          <w:rPr>
            <w:noProof w:val="0"/>
            <w:webHidden/>
          </w:rPr>
        </w:r>
        <w:r w:rsidR="00F81F7A" w:rsidRPr="00B817D9">
          <w:rPr>
            <w:noProof w:val="0"/>
            <w:webHidden/>
          </w:rPr>
          <w:fldChar w:fldCharType="separate"/>
        </w:r>
        <w:r w:rsidR="00F81F7A" w:rsidRPr="00B817D9">
          <w:rPr>
            <w:noProof w:val="0"/>
            <w:webHidden/>
          </w:rPr>
          <w:t>77</w:t>
        </w:r>
        <w:r w:rsidR="00F81F7A" w:rsidRPr="00B817D9">
          <w:rPr>
            <w:noProof w:val="0"/>
            <w:webHidden/>
          </w:rPr>
          <w:fldChar w:fldCharType="end"/>
        </w:r>
      </w:hyperlink>
    </w:p>
    <w:p w14:paraId="31A068C4" w14:textId="1A8D8985" w:rsidR="00F81F7A" w:rsidRPr="00B817D9" w:rsidRDefault="00B817D9">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604489" w:history="1">
        <w:r w:rsidR="00F81F7A" w:rsidRPr="00B817D9">
          <w:rPr>
            <w:rStyle w:val="Hyperlink"/>
            <w:rFonts w:ascii="Times New Roman" w:hAnsi="Times New Roman"/>
            <w:noProof w:val="0"/>
          </w:rPr>
          <w:t>8.</w:t>
        </w:r>
        <w:r w:rsidR="00F81F7A" w:rsidRPr="00B817D9">
          <w:rPr>
            <w:rFonts w:asciiTheme="minorHAnsi" w:eastAsiaTheme="minorEastAsia" w:hAnsiTheme="minorHAnsi" w:cstheme="minorBidi"/>
            <w:b w:val="0"/>
            <w:smallCaps w:val="0"/>
            <w:noProof w:val="0"/>
            <w:kern w:val="2"/>
            <w:sz w:val="24"/>
            <w:szCs w:val="24"/>
            <w:lang w:eastAsia="en-IE"/>
            <w14:ligatures w14:val="standardContextual"/>
          </w:rPr>
          <w:tab/>
        </w:r>
        <w:r w:rsidR="00F81F7A" w:rsidRPr="00B817D9">
          <w:rPr>
            <w:rStyle w:val="Hyperlink"/>
            <w:rFonts w:ascii="Times New Roman" w:hAnsi="Times New Roman"/>
            <w:noProof w:val="0"/>
          </w:rPr>
          <w:t>C 48.01 Zmienność wskaźnika dźwigni: średnia wartość dla okresu sprawozdawczego</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_Toc188604489 \h </w:instrText>
        </w:r>
        <w:r w:rsidR="00F81F7A" w:rsidRPr="00B817D9">
          <w:rPr>
            <w:noProof w:val="0"/>
            <w:webHidden/>
          </w:rPr>
        </w:r>
        <w:r w:rsidR="00F81F7A" w:rsidRPr="00B817D9">
          <w:rPr>
            <w:noProof w:val="0"/>
            <w:webHidden/>
          </w:rPr>
          <w:fldChar w:fldCharType="separate"/>
        </w:r>
        <w:r w:rsidR="00F81F7A" w:rsidRPr="00B817D9">
          <w:rPr>
            <w:noProof w:val="0"/>
            <w:webHidden/>
          </w:rPr>
          <w:t>77</w:t>
        </w:r>
        <w:r w:rsidR="00F81F7A" w:rsidRPr="00B817D9">
          <w:rPr>
            <w:noProof w:val="0"/>
            <w:webHidden/>
          </w:rPr>
          <w:fldChar w:fldCharType="end"/>
        </w:r>
      </w:hyperlink>
    </w:p>
    <w:p w14:paraId="71E0023D" w14:textId="44509C8D" w:rsidR="00F81F7A" w:rsidRPr="00B817D9" w:rsidRDefault="00B817D9">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604490" w:history="1">
        <w:r w:rsidR="00F81F7A" w:rsidRPr="00B817D9">
          <w:rPr>
            <w:rStyle w:val="Hyperlink"/>
            <w:rFonts w:ascii="Times New Roman" w:hAnsi="Times New Roman"/>
            <w:noProof w:val="0"/>
          </w:rPr>
          <w:t>9.</w:t>
        </w:r>
        <w:r w:rsidR="00F81F7A" w:rsidRPr="00B817D9">
          <w:rPr>
            <w:rFonts w:asciiTheme="minorHAnsi" w:eastAsiaTheme="minorEastAsia" w:hAnsiTheme="minorHAnsi" w:cstheme="minorBidi"/>
            <w:b w:val="0"/>
            <w:smallCaps w:val="0"/>
            <w:noProof w:val="0"/>
            <w:kern w:val="2"/>
            <w:sz w:val="24"/>
            <w:szCs w:val="24"/>
            <w:lang w:eastAsia="en-IE"/>
            <w14:ligatures w14:val="standardContextual"/>
          </w:rPr>
          <w:tab/>
        </w:r>
        <w:r w:rsidR="00F81F7A" w:rsidRPr="00B817D9">
          <w:rPr>
            <w:rStyle w:val="Hyperlink"/>
            <w:rFonts w:ascii="Times New Roman" w:hAnsi="Times New Roman"/>
            <w:noProof w:val="0"/>
          </w:rPr>
          <w:t>C 48.02 – Zmienność wskaźnika dźwigni: dzienne wartości dla okresu sprawozdawczego</w:t>
        </w:r>
        <w:r w:rsidR="00F81F7A" w:rsidRPr="00B817D9">
          <w:rPr>
            <w:noProof w:val="0"/>
            <w:webHidden/>
          </w:rPr>
          <w:tab/>
        </w:r>
        <w:r w:rsidR="00F81F7A" w:rsidRPr="00B817D9">
          <w:rPr>
            <w:noProof w:val="0"/>
            <w:webHidden/>
          </w:rPr>
          <w:fldChar w:fldCharType="begin"/>
        </w:r>
        <w:r w:rsidR="00F81F7A" w:rsidRPr="00B817D9">
          <w:rPr>
            <w:noProof w:val="0"/>
            <w:webHidden/>
          </w:rPr>
          <w:instrText xml:space="preserve"> PAGEREF _Toc188604490 \h </w:instrText>
        </w:r>
        <w:r w:rsidR="00F81F7A" w:rsidRPr="00B817D9">
          <w:rPr>
            <w:noProof w:val="0"/>
            <w:webHidden/>
          </w:rPr>
        </w:r>
        <w:r w:rsidR="00F81F7A" w:rsidRPr="00B817D9">
          <w:rPr>
            <w:noProof w:val="0"/>
            <w:webHidden/>
          </w:rPr>
          <w:fldChar w:fldCharType="separate"/>
        </w:r>
        <w:r w:rsidR="00F81F7A" w:rsidRPr="00B817D9">
          <w:rPr>
            <w:noProof w:val="0"/>
            <w:webHidden/>
          </w:rPr>
          <w:t>78</w:t>
        </w:r>
        <w:r w:rsidR="00F81F7A" w:rsidRPr="00B817D9">
          <w:rPr>
            <w:noProof w:val="0"/>
            <w:webHidden/>
          </w:rPr>
          <w:fldChar w:fldCharType="end"/>
        </w:r>
      </w:hyperlink>
    </w:p>
    <w:p w14:paraId="43D747E1" w14:textId="39C2D299" w:rsidR="00AC3257" w:rsidRPr="00B817D9" w:rsidRDefault="00391EF9" w:rsidP="000B66BC">
      <w:pPr>
        <w:pStyle w:val="BodyText1"/>
        <w:rPr>
          <w:rFonts w:ascii="Times New Roman" w:hAnsi="Times New Roman"/>
          <w:sz w:val="24"/>
        </w:rPr>
        <w:sectPr w:rsidR="00AC3257" w:rsidRPr="00B817D9"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B817D9">
        <w:rPr>
          <w:rFonts w:ascii="Times New Roman" w:hAnsi="Times New Roman"/>
          <w:sz w:val="24"/>
        </w:rPr>
        <w:fldChar w:fldCharType="end"/>
      </w:r>
    </w:p>
    <w:p w14:paraId="34ED68DE" w14:textId="77777777" w:rsidR="00F4754B" w:rsidRPr="00B817D9" w:rsidRDefault="00F4754B" w:rsidP="000B66BC">
      <w:pPr>
        <w:pStyle w:val="BodyText1"/>
        <w:spacing w:after="240"/>
        <w:rPr>
          <w:rFonts w:ascii="Times New Roman" w:hAnsi="Times New Roman"/>
          <w:sz w:val="24"/>
          <w:szCs w:val="24"/>
        </w:rPr>
      </w:pPr>
    </w:p>
    <w:p w14:paraId="12DCD63B" w14:textId="77777777" w:rsidR="00217D1F" w:rsidRPr="00B817D9"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604475"/>
      <w:r w:rsidRPr="00B817D9">
        <w:rPr>
          <w:rFonts w:ascii="Times New Roman" w:hAnsi="Times New Roman"/>
          <w:b/>
          <w:sz w:val="24"/>
        </w:rPr>
        <w:t>CZĘŚĆ I:</w:t>
      </w:r>
      <w:bookmarkEnd w:id="0"/>
      <w:r w:rsidRPr="00B817D9">
        <w:rPr>
          <w:rFonts w:ascii="Times New Roman" w:hAnsi="Times New Roman"/>
          <w:b/>
          <w:sz w:val="24"/>
        </w:rPr>
        <w:t xml:space="preserve"> INSTRUKCJE OGÓLNE</w:t>
      </w:r>
      <w:bookmarkEnd w:id="1"/>
      <w:bookmarkEnd w:id="2"/>
      <w:bookmarkEnd w:id="3"/>
      <w:bookmarkEnd w:id="4"/>
      <w:bookmarkEnd w:id="5"/>
    </w:p>
    <w:p w14:paraId="2A030BBF" w14:textId="5A7C0FF1" w:rsidR="00217D1F" w:rsidRPr="00B817D9"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604476"/>
      <w:r w:rsidRPr="00B817D9">
        <w:rPr>
          <w:rFonts w:ascii="Times New Roman" w:hAnsi="Times New Roman"/>
          <w:b/>
          <w:sz w:val="24"/>
        </w:rPr>
        <w:t>1.</w:t>
      </w:r>
      <w:r w:rsidRPr="00B817D9">
        <w:tab/>
      </w:r>
      <w:r w:rsidRPr="00B817D9">
        <w:rPr>
          <w:rFonts w:ascii="Times New Roman" w:hAnsi="Times New Roman"/>
          <w:b/>
          <w:sz w:val="24"/>
        </w:rPr>
        <w:t>Struktura</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inn</w:t>
      </w:r>
      <w:r w:rsidRPr="00B817D9">
        <w:rPr>
          <w:rFonts w:ascii="Times New Roman" w:hAnsi="Times New Roman"/>
          <w:b/>
          <w:sz w:val="24"/>
        </w:rPr>
        <w:t>e konwencje</w:t>
      </w:r>
      <w:bookmarkEnd w:id="6"/>
      <w:bookmarkEnd w:id="7"/>
      <w:bookmarkEnd w:id="8"/>
      <w:bookmarkEnd w:id="9"/>
      <w:bookmarkEnd w:id="10"/>
    </w:p>
    <w:p w14:paraId="0F3236AE" w14:textId="6FB096EE" w:rsidR="00217D1F" w:rsidRPr="00B817D9"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188604477"/>
      <w:bookmarkStart w:id="15" w:name="_Toc264038399"/>
      <w:bookmarkStart w:id="16" w:name="_Toc294018834"/>
      <w:r w:rsidRPr="00B817D9">
        <w:rPr>
          <w:rFonts w:ascii="Times New Roman" w:hAnsi="Times New Roman"/>
          <w:b/>
          <w:sz w:val="24"/>
        </w:rPr>
        <w:t>1.1.</w:t>
      </w:r>
      <w:r w:rsidRPr="00B817D9">
        <w:tab/>
      </w:r>
      <w:bookmarkEnd w:id="11"/>
      <w:bookmarkEnd w:id="12"/>
      <w:bookmarkEnd w:id="13"/>
      <w:r w:rsidRPr="00B817D9">
        <w:rPr>
          <w:rFonts w:ascii="Times New Roman" w:hAnsi="Times New Roman"/>
          <w:b/>
          <w:sz w:val="24"/>
        </w:rPr>
        <w:t>Struktura</w:t>
      </w:r>
      <w:bookmarkEnd w:id="14"/>
    </w:p>
    <w:p w14:paraId="050538F0" w14:textId="100D7A6F" w:rsidR="00E22856" w:rsidRPr="00B817D9" w:rsidRDefault="00500508" w:rsidP="000B66BC">
      <w:pPr>
        <w:pStyle w:val="BodyText1"/>
        <w:spacing w:after="240"/>
        <w:ind w:left="720" w:hanging="360"/>
        <w:rPr>
          <w:rFonts w:ascii="Times New Roman" w:hAnsi="Times New Roman"/>
          <w:sz w:val="24"/>
          <w:szCs w:val="24"/>
        </w:rPr>
      </w:pPr>
      <w:r w:rsidRPr="00B817D9">
        <w:rPr>
          <w:rFonts w:ascii="Times New Roman" w:hAnsi="Times New Roman"/>
          <w:sz w:val="24"/>
        </w:rPr>
        <w:t>1.</w:t>
      </w:r>
      <w:r w:rsidRPr="00B817D9">
        <w:tab/>
      </w:r>
      <w:r w:rsidRPr="00B817D9">
        <w:rPr>
          <w:rFonts w:ascii="Times New Roman" w:hAnsi="Times New Roman"/>
          <w:sz w:val="24"/>
        </w:rPr>
        <w:t xml:space="preserve">Niniejszy załącznik zawiera dodatkowe instrukcje dotyczące wzorów (oznaczanych dalej „LR” – ang. </w:t>
      </w:r>
      <w:r w:rsidRPr="00B817D9">
        <w:rPr>
          <w:rFonts w:ascii="Times New Roman" w:hAnsi="Times New Roman"/>
          <w:i/>
          <w:iCs/>
          <w:sz w:val="24"/>
        </w:rPr>
        <w:t>leverage ratio</w:t>
      </w:r>
      <w:r w:rsidRPr="00B817D9">
        <w:rPr>
          <w:rFonts w:ascii="Times New Roman" w:hAnsi="Times New Roman"/>
          <w:sz w:val="24"/>
        </w:rPr>
        <w:t>) zawartych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 xml:space="preserve">ączniku X do niniejszego rozporządzenia. </w:t>
      </w:r>
    </w:p>
    <w:p w14:paraId="4B2766E9" w14:textId="115C49CB" w:rsidR="00F4754B" w:rsidRPr="00B817D9" w:rsidRDefault="00500508" w:rsidP="009339D1">
      <w:pPr>
        <w:pStyle w:val="InstructionsText2"/>
        <w:numPr>
          <w:ilvl w:val="0"/>
          <w:numId w:val="0"/>
        </w:numPr>
        <w:ind w:left="720" w:hanging="360"/>
        <w:rPr>
          <w:rFonts w:eastAsia="Times New Roman"/>
          <w:bCs/>
          <w:sz w:val="24"/>
        </w:rPr>
      </w:pPr>
      <w:r w:rsidRPr="00B817D9">
        <w:rPr>
          <w:sz w:val="24"/>
        </w:rPr>
        <w:t>2.</w:t>
      </w:r>
      <w:r w:rsidRPr="00B817D9">
        <w:tab/>
      </w:r>
      <w:r w:rsidRPr="00B817D9">
        <w:rPr>
          <w:sz w:val="24"/>
        </w:rPr>
        <w:t>Ramy sprawozdawczości</w:t>
      </w:r>
      <w:r w:rsidR="00B817D9" w:rsidRPr="00B817D9">
        <w:rPr>
          <w:sz w:val="24"/>
        </w:rPr>
        <w:t xml:space="preserve"> w</w:t>
      </w:r>
      <w:r w:rsidR="00B817D9">
        <w:rPr>
          <w:sz w:val="24"/>
        </w:rPr>
        <w:t> </w:t>
      </w:r>
      <w:r w:rsidR="00B817D9" w:rsidRPr="00B817D9">
        <w:rPr>
          <w:sz w:val="24"/>
        </w:rPr>
        <w:t>zak</w:t>
      </w:r>
      <w:r w:rsidRPr="00B817D9">
        <w:rPr>
          <w:sz w:val="24"/>
        </w:rPr>
        <w:t>resie dźwigni finansowej obejmują łącznie pięć wzorów:</w:t>
      </w:r>
    </w:p>
    <w:p w14:paraId="41A3C48C" w14:textId="77777777" w:rsidR="00675587" w:rsidRPr="00B817D9" w:rsidRDefault="00500508" w:rsidP="009339D1">
      <w:pPr>
        <w:pStyle w:val="InstructionsText2"/>
        <w:numPr>
          <w:ilvl w:val="0"/>
          <w:numId w:val="0"/>
        </w:numPr>
        <w:ind w:left="1080" w:hanging="360"/>
        <w:rPr>
          <w:rFonts w:eastAsia="Times New Roman"/>
          <w:bCs/>
          <w:sz w:val="24"/>
        </w:rPr>
      </w:pPr>
      <w:r w:rsidRPr="00B817D9">
        <w:rPr>
          <w:rFonts w:ascii="Symbol" w:hAnsi="Symbol"/>
          <w:sz w:val="24"/>
        </w:rPr>
        <w:t></w:t>
      </w:r>
      <w:r w:rsidRPr="00B817D9">
        <w:tab/>
      </w:r>
      <w:r w:rsidRPr="00B817D9">
        <w:rPr>
          <w:sz w:val="24"/>
        </w:rPr>
        <w:t>C47.00: Obliczanie wskaźnika dźwigni (LRCalc): Obliczanie wskaźnika dźwigni;</w:t>
      </w:r>
    </w:p>
    <w:p w14:paraId="42B808C6" w14:textId="77777777" w:rsidR="00675587" w:rsidRPr="00B817D9" w:rsidRDefault="00500508" w:rsidP="009339D1">
      <w:pPr>
        <w:pStyle w:val="InstructionsText2"/>
        <w:numPr>
          <w:ilvl w:val="0"/>
          <w:numId w:val="0"/>
        </w:numPr>
        <w:ind w:left="1080" w:hanging="360"/>
        <w:rPr>
          <w:rFonts w:eastAsia="Times New Roman"/>
          <w:bCs/>
          <w:sz w:val="24"/>
        </w:rPr>
      </w:pPr>
      <w:r w:rsidRPr="00B817D9">
        <w:rPr>
          <w:rFonts w:ascii="Symbol" w:hAnsi="Symbol"/>
          <w:sz w:val="24"/>
        </w:rPr>
        <w:t></w:t>
      </w:r>
      <w:r w:rsidRPr="00B817D9">
        <w:tab/>
      </w:r>
      <w:r w:rsidRPr="00B817D9">
        <w:rPr>
          <w:sz w:val="24"/>
        </w:rPr>
        <w:t>C40.00: Wzór dotyczący wskaźnika dźwigni 1 (LR1): Podejście alternatywne do miary ekspozycji;</w:t>
      </w:r>
    </w:p>
    <w:p w14:paraId="29356C92" w14:textId="650F5016" w:rsidR="00675587" w:rsidRPr="00B817D9" w:rsidRDefault="00500508" w:rsidP="009339D1">
      <w:pPr>
        <w:pStyle w:val="InstructionsText2"/>
        <w:numPr>
          <w:ilvl w:val="0"/>
          <w:numId w:val="0"/>
        </w:numPr>
        <w:ind w:left="1080" w:hanging="360"/>
        <w:rPr>
          <w:rFonts w:eastAsia="Times New Roman"/>
          <w:bCs/>
          <w:sz w:val="24"/>
        </w:rPr>
      </w:pPr>
      <w:r w:rsidRPr="00B817D9">
        <w:rPr>
          <w:rFonts w:ascii="Symbol" w:hAnsi="Symbol"/>
          <w:sz w:val="24"/>
        </w:rPr>
        <w:t></w:t>
      </w:r>
      <w:r w:rsidRPr="00B817D9">
        <w:tab/>
      </w:r>
      <w:r w:rsidRPr="00B817D9">
        <w:rPr>
          <w:sz w:val="24"/>
        </w:rPr>
        <w:t>C43.00: Wzór dotyczący wskaźnika dźwigni 4 (LR4): Alternatywny podział składników miary ekspozycji wskaźnika dźwigni;</w:t>
      </w:r>
    </w:p>
    <w:p w14:paraId="0192F250" w14:textId="1780456B" w:rsidR="00675587" w:rsidRPr="00B817D9" w:rsidRDefault="00500508" w:rsidP="009339D1">
      <w:pPr>
        <w:pStyle w:val="InstructionsText2"/>
        <w:numPr>
          <w:ilvl w:val="0"/>
          <w:numId w:val="0"/>
        </w:numPr>
        <w:ind w:left="1080" w:hanging="360"/>
        <w:rPr>
          <w:rFonts w:eastAsia="Times New Roman"/>
          <w:bCs/>
          <w:sz w:val="24"/>
        </w:rPr>
      </w:pPr>
      <w:r w:rsidRPr="00B817D9">
        <w:rPr>
          <w:rFonts w:ascii="Symbol" w:hAnsi="Symbol"/>
          <w:sz w:val="24"/>
        </w:rPr>
        <w:t></w:t>
      </w:r>
      <w:r w:rsidRPr="00B817D9">
        <w:tab/>
      </w:r>
      <w:r w:rsidRPr="00B817D9">
        <w:rPr>
          <w:sz w:val="24"/>
        </w:rPr>
        <w:t>C44.00: Wzór dotyczący wskaźnika dźwigni 5 (LR5): Informacje ogólne;</w:t>
      </w:r>
    </w:p>
    <w:p w14:paraId="7D668F4C" w14:textId="2EF3E327" w:rsidR="00BE473C" w:rsidRPr="00B817D9" w:rsidRDefault="00BE473C" w:rsidP="009339D1">
      <w:pPr>
        <w:pStyle w:val="InstructionsText2"/>
        <w:numPr>
          <w:ilvl w:val="0"/>
          <w:numId w:val="35"/>
        </w:numPr>
        <w:rPr>
          <w:rFonts w:eastAsia="Times New Roman"/>
          <w:bCs/>
          <w:sz w:val="24"/>
        </w:rPr>
      </w:pPr>
      <w:r w:rsidRPr="00B817D9">
        <w:rPr>
          <w:sz w:val="24"/>
        </w:rPr>
        <w:t>C48.00: Zmienność wskaźnika dźwigni (LR6).</w:t>
      </w:r>
    </w:p>
    <w:p w14:paraId="6D2FC52A" w14:textId="5D5E1B5E" w:rsidR="00FC2664" w:rsidRPr="00B817D9" w:rsidRDefault="00500508" w:rsidP="000B66BC">
      <w:pPr>
        <w:pStyle w:val="InstructionsText2"/>
        <w:numPr>
          <w:ilvl w:val="0"/>
          <w:numId w:val="0"/>
        </w:numPr>
        <w:ind w:left="720" w:hanging="360"/>
        <w:rPr>
          <w:sz w:val="24"/>
        </w:rPr>
      </w:pPr>
      <w:r w:rsidRPr="00B817D9">
        <w:rPr>
          <w:sz w:val="24"/>
        </w:rPr>
        <w:t>3.</w:t>
      </w:r>
      <w:r w:rsidRPr="00B817D9">
        <w:tab/>
      </w:r>
      <w:r w:rsidRPr="00B817D9">
        <w:rPr>
          <w:sz w:val="24"/>
        </w:rPr>
        <w:t>Dla każdego wzoru podano odniesienia prawne oraz dalsze informacje szczegółowe dotyczące bardziej ogólnych aspektów sprawozdawczości.</w:t>
      </w:r>
    </w:p>
    <w:p w14:paraId="5CABBDF6" w14:textId="77777777" w:rsidR="00217D1F" w:rsidRPr="00B817D9"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604478"/>
      <w:bookmarkEnd w:id="17"/>
      <w:r w:rsidRPr="00B817D9">
        <w:rPr>
          <w:rFonts w:ascii="Times New Roman" w:hAnsi="Times New Roman"/>
          <w:b/>
          <w:sz w:val="24"/>
        </w:rPr>
        <w:t>1.2.</w:t>
      </w:r>
      <w:r w:rsidRPr="00B817D9">
        <w:tab/>
      </w:r>
      <w:r w:rsidRPr="00B817D9">
        <w:rPr>
          <w:rFonts w:ascii="Times New Roman" w:hAnsi="Times New Roman"/>
          <w:b/>
          <w:sz w:val="24"/>
        </w:rPr>
        <w:t>Konwencja numerowania</w:t>
      </w:r>
      <w:bookmarkEnd w:id="18"/>
      <w:bookmarkEnd w:id="19"/>
      <w:bookmarkEnd w:id="20"/>
      <w:bookmarkEnd w:id="21"/>
      <w:bookmarkEnd w:id="22"/>
    </w:p>
    <w:p w14:paraId="729F6A05" w14:textId="5FD78FBC" w:rsidR="00F4754B" w:rsidRPr="00B817D9" w:rsidRDefault="00500508" w:rsidP="009339D1">
      <w:pPr>
        <w:pStyle w:val="InstructionsText2"/>
        <w:numPr>
          <w:ilvl w:val="0"/>
          <w:numId w:val="0"/>
        </w:numPr>
        <w:ind w:left="720" w:hanging="360"/>
        <w:rPr>
          <w:rFonts w:eastAsia="Times New Roman"/>
          <w:bCs/>
          <w:sz w:val="24"/>
        </w:rPr>
      </w:pPr>
      <w:r w:rsidRPr="00B817D9">
        <w:rPr>
          <w:sz w:val="24"/>
        </w:rPr>
        <w:t>4.</w:t>
      </w:r>
      <w:r w:rsidRPr="00B817D9">
        <w:tab/>
      </w:r>
      <w:r w:rsidRPr="00B817D9">
        <w:rPr>
          <w:sz w:val="24"/>
        </w:rPr>
        <w:t>W przypadku odwołań do kolumn, wierszy</w:t>
      </w:r>
      <w:r w:rsidR="00B817D9" w:rsidRPr="00B817D9">
        <w:rPr>
          <w:sz w:val="24"/>
        </w:rPr>
        <w:t xml:space="preserve"> i</w:t>
      </w:r>
      <w:r w:rsidR="00B817D9">
        <w:rPr>
          <w:sz w:val="24"/>
        </w:rPr>
        <w:t> </w:t>
      </w:r>
      <w:r w:rsidR="00B817D9" w:rsidRPr="00B817D9">
        <w:rPr>
          <w:sz w:val="24"/>
        </w:rPr>
        <w:t>kom</w:t>
      </w:r>
      <w:r w:rsidRPr="00B817D9">
        <w:rPr>
          <w:sz w:val="24"/>
        </w:rPr>
        <w:t>órek przedmiotowych wzorów</w:t>
      </w:r>
      <w:r w:rsidR="00B817D9" w:rsidRPr="00B817D9">
        <w:rPr>
          <w:sz w:val="24"/>
        </w:rPr>
        <w:t xml:space="preserve"> w</w:t>
      </w:r>
      <w:r w:rsidR="00B817D9">
        <w:rPr>
          <w:sz w:val="24"/>
        </w:rPr>
        <w:t> </w:t>
      </w:r>
      <w:r w:rsidR="00B817D9" w:rsidRPr="00B817D9">
        <w:rPr>
          <w:sz w:val="24"/>
        </w:rPr>
        <w:t>nin</w:t>
      </w:r>
      <w:r w:rsidRPr="00B817D9">
        <w:rPr>
          <w:sz w:val="24"/>
        </w:rPr>
        <w:t>iejszym dokumencie stosowana jest konwencja numerowania wskazana</w:t>
      </w:r>
      <w:r w:rsidR="00B817D9" w:rsidRPr="00B817D9">
        <w:rPr>
          <w:sz w:val="24"/>
        </w:rPr>
        <w:t xml:space="preserve"> w</w:t>
      </w:r>
      <w:r w:rsidR="00B817D9">
        <w:rPr>
          <w:sz w:val="24"/>
        </w:rPr>
        <w:t> </w:t>
      </w:r>
      <w:r w:rsidR="00B817D9" w:rsidRPr="00B817D9">
        <w:rPr>
          <w:sz w:val="24"/>
        </w:rPr>
        <w:t>kol</w:t>
      </w:r>
      <w:r w:rsidRPr="00B817D9">
        <w:rPr>
          <w:sz w:val="24"/>
        </w:rPr>
        <w:t>ejnych punktach. Przedmiotowe kody numeryczne znajdują szerokie zastosowanie</w:t>
      </w:r>
      <w:r w:rsidR="00B817D9" w:rsidRPr="00B817D9">
        <w:rPr>
          <w:sz w:val="24"/>
        </w:rPr>
        <w:t xml:space="preserve"> w</w:t>
      </w:r>
      <w:r w:rsidR="00B817D9">
        <w:rPr>
          <w:sz w:val="24"/>
        </w:rPr>
        <w:t> </w:t>
      </w:r>
      <w:r w:rsidR="00B817D9" w:rsidRPr="00B817D9">
        <w:rPr>
          <w:sz w:val="24"/>
        </w:rPr>
        <w:t>zas</w:t>
      </w:r>
      <w:r w:rsidRPr="00B817D9">
        <w:rPr>
          <w:sz w:val="24"/>
        </w:rPr>
        <w:t>adach przeprowadzania walidacji.</w:t>
      </w:r>
    </w:p>
    <w:p w14:paraId="68B33760" w14:textId="77777777" w:rsidR="00F4754B" w:rsidRPr="00B817D9" w:rsidRDefault="00500508" w:rsidP="009339D1">
      <w:pPr>
        <w:pStyle w:val="InstructionsText2"/>
        <w:numPr>
          <w:ilvl w:val="0"/>
          <w:numId w:val="0"/>
        </w:numPr>
        <w:ind w:left="720" w:hanging="360"/>
        <w:rPr>
          <w:rFonts w:eastAsia="Times New Roman"/>
          <w:bCs/>
          <w:sz w:val="24"/>
        </w:rPr>
      </w:pPr>
      <w:r w:rsidRPr="00B817D9">
        <w:rPr>
          <w:sz w:val="24"/>
        </w:rPr>
        <w:t>5.</w:t>
      </w:r>
      <w:r w:rsidRPr="00B817D9">
        <w:tab/>
      </w:r>
      <w:r w:rsidRPr="00B817D9">
        <w:rPr>
          <w:sz w:val="24"/>
        </w:rPr>
        <w:t>W instrukcjach stosowany jest następujący ogólny zapis: {wzór;wiersz;kolumna}. Odniesienie do całego wiersza lub całej kolumny oznaczane będzie gwiazdką.</w:t>
      </w:r>
    </w:p>
    <w:p w14:paraId="3E605DEE" w14:textId="50D7CDDF" w:rsidR="00F4754B" w:rsidRPr="00B817D9" w:rsidRDefault="00500508" w:rsidP="009339D1">
      <w:pPr>
        <w:pStyle w:val="InstructionsText2"/>
        <w:numPr>
          <w:ilvl w:val="0"/>
          <w:numId w:val="0"/>
        </w:numPr>
        <w:ind w:left="720" w:hanging="360"/>
        <w:rPr>
          <w:rFonts w:eastAsia="Times New Roman"/>
          <w:bCs/>
          <w:sz w:val="24"/>
        </w:rPr>
      </w:pPr>
      <w:r w:rsidRPr="00B817D9">
        <w:rPr>
          <w:sz w:val="24"/>
        </w:rPr>
        <w:t>6.</w:t>
      </w:r>
      <w:r w:rsidRPr="00B817D9">
        <w:tab/>
      </w:r>
      <w:r w:rsidRPr="00B817D9">
        <w:rPr>
          <w:sz w:val="24"/>
        </w:rPr>
        <w:t>W przypadku walidacji</w:t>
      </w:r>
      <w:r w:rsidR="00B817D9" w:rsidRPr="00B817D9">
        <w:rPr>
          <w:sz w:val="24"/>
        </w:rPr>
        <w:t xml:space="preserve"> w</w:t>
      </w:r>
      <w:r w:rsidR="00B817D9">
        <w:rPr>
          <w:sz w:val="24"/>
        </w:rPr>
        <w:t> </w:t>
      </w:r>
      <w:r w:rsidR="00B817D9" w:rsidRPr="00B817D9">
        <w:rPr>
          <w:sz w:val="24"/>
        </w:rPr>
        <w:t>obr</w:t>
      </w:r>
      <w:r w:rsidRPr="00B817D9">
        <w:rPr>
          <w:sz w:val="24"/>
        </w:rPr>
        <w:t>ębie wzoru, gdzie wykorzystane są jedynie punkty danych</w:t>
      </w:r>
      <w:r w:rsidR="00B817D9" w:rsidRPr="00B817D9">
        <w:rPr>
          <w:sz w:val="24"/>
        </w:rPr>
        <w:t xml:space="preserve"> z</w:t>
      </w:r>
      <w:r w:rsidR="00B817D9">
        <w:rPr>
          <w:sz w:val="24"/>
        </w:rPr>
        <w:t> </w:t>
      </w:r>
      <w:r w:rsidR="00B817D9" w:rsidRPr="00B817D9">
        <w:rPr>
          <w:sz w:val="24"/>
        </w:rPr>
        <w:t>teg</w:t>
      </w:r>
      <w:r w:rsidRPr="00B817D9">
        <w:rPr>
          <w:sz w:val="24"/>
        </w:rPr>
        <w:t>o wzoru, zapis nie będzie odnosił się do wzoru: {wiersz;kolumna}.</w:t>
      </w:r>
    </w:p>
    <w:p w14:paraId="12003733" w14:textId="73BD2848" w:rsidR="00F4754B" w:rsidRPr="00B817D9" w:rsidRDefault="00500508" w:rsidP="009339D1">
      <w:pPr>
        <w:pStyle w:val="InstructionsText2"/>
        <w:numPr>
          <w:ilvl w:val="0"/>
          <w:numId w:val="0"/>
        </w:numPr>
        <w:ind w:left="720" w:hanging="360"/>
        <w:rPr>
          <w:rFonts w:eastAsia="Times New Roman"/>
          <w:bCs/>
          <w:sz w:val="24"/>
        </w:rPr>
      </w:pPr>
      <w:r w:rsidRPr="00B817D9">
        <w:rPr>
          <w:sz w:val="24"/>
        </w:rPr>
        <w:t>7.</w:t>
      </w:r>
      <w:r w:rsidRPr="00B817D9">
        <w:tab/>
      </w:r>
      <w:r w:rsidRPr="00B817D9">
        <w:rPr>
          <w:sz w:val="24"/>
        </w:rPr>
        <w:t>Na potrzeby sprawozdawczości</w:t>
      </w:r>
      <w:r w:rsidR="00B817D9" w:rsidRPr="00B817D9">
        <w:rPr>
          <w:sz w:val="24"/>
        </w:rPr>
        <w:t xml:space="preserve"> w</w:t>
      </w:r>
      <w:r w:rsidR="00B817D9">
        <w:rPr>
          <w:sz w:val="24"/>
        </w:rPr>
        <w:t> </w:t>
      </w:r>
      <w:r w:rsidR="00B817D9" w:rsidRPr="00B817D9">
        <w:rPr>
          <w:sz w:val="24"/>
        </w:rPr>
        <w:t>zak</w:t>
      </w:r>
      <w:r w:rsidRPr="00B817D9">
        <w:rPr>
          <w:sz w:val="24"/>
        </w:rPr>
        <w:t>resie dźwigni finansowej „w tym” odnosi się do pozycji, która jest podzbiorem kategorii ekspozycji wyższego rzędu, natomiast „pozycja uzupełniająca” odnosi się do osobnej pozycji, która nie jest podzbiorem klasy ekspozycji. Zgłoszenie obydwu rodzajów komórek jest obowiązkowe,</w:t>
      </w:r>
      <w:r w:rsidR="00B817D9" w:rsidRPr="00B817D9">
        <w:rPr>
          <w:sz w:val="24"/>
        </w:rPr>
        <w:t xml:space="preserve"> o</w:t>
      </w:r>
      <w:r w:rsidR="00B817D9">
        <w:rPr>
          <w:sz w:val="24"/>
        </w:rPr>
        <w:t> </w:t>
      </w:r>
      <w:r w:rsidR="00B817D9" w:rsidRPr="00B817D9">
        <w:rPr>
          <w:sz w:val="24"/>
        </w:rPr>
        <w:t>ile</w:t>
      </w:r>
      <w:r w:rsidRPr="00B817D9">
        <w:rPr>
          <w:sz w:val="24"/>
        </w:rPr>
        <w:t xml:space="preserve"> nie określono inaczej. </w:t>
      </w:r>
    </w:p>
    <w:p w14:paraId="2D525ACC" w14:textId="77777777" w:rsidR="001D6F2F" w:rsidRPr="00B817D9"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604479"/>
      <w:r w:rsidRPr="00B817D9">
        <w:rPr>
          <w:rFonts w:ascii="Times New Roman" w:hAnsi="Times New Roman"/>
          <w:b/>
          <w:sz w:val="24"/>
        </w:rPr>
        <w:t>1.3.</w:t>
      </w:r>
      <w:r w:rsidRPr="00B817D9">
        <w:tab/>
      </w:r>
      <w:r w:rsidRPr="00B817D9">
        <w:rPr>
          <w:rFonts w:ascii="Times New Roman" w:hAnsi="Times New Roman"/>
          <w:b/>
          <w:sz w:val="24"/>
        </w:rPr>
        <w:t>Skróty</w:t>
      </w:r>
      <w:bookmarkEnd w:id="23"/>
      <w:bookmarkEnd w:id="24"/>
    </w:p>
    <w:p w14:paraId="72197A49" w14:textId="3BB47E5D" w:rsidR="00627E07" w:rsidRPr="00B817D9"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sidRPr="00B817D9">
        <w:rPr>
          <w:sz w:val="24"/>
        </w:rPr>
        <w:lastRenderedPageBreak/>
        <w:t>8.</w:t>
      </w:r>
      <w:r w:rsidRPr="00B817D9">
        <w:tab/>
      </w:r>
      <w:r w:rsidRPr="00B817D9">
        <w:rPr>
          <w:sz w:val="24"/>
        </w:rPr>
        <w:t>Do celów niniejszego załącznika oraz związanych</w:t>
      </w:r>
      <w:r w:rsidR="00B817D9" w:rsidRPr="00B817D9">
        <w:rPr>
          <w:sz w:val="24"/>
        </w:rPr>
        <w:t xml:space="preserve"> z</w:t>
      </w:r>
      <w:r w:rsidR="00B817D9">
        <w:rPr>
          <w:sz w:val="24"/>
        </w:rPr>
        <w:t> </w:t>
      </w:r>
      <w:r w:rsidR="00B817D9" w:rsidRPr="00B817D9">
        <w:rPr>
          <w:sz w:val="24"/>
        </w:rPr>
        <w:t>nim</w:t>
      </w:r>
      <w:r w:rsidRPr="00B817D9">
        <w:rPr>
          <w:sz w:val="24"/>
        </w:rPr>
        <w:t xml:space="preserve"> wzorów stosuje się następujące skróty:</w:t>
      </w:r>
    </w:p>
    <w:p w14:paraId="567537B5" w14:textId="38559007" w:rsidR="00627E07" w:rsidRPr="00B817D9"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B817D9" w:rsidRDefault="007E2989" w:rsidP="009339D1">
      <w:pPr>
        <w:pStyle w:val="InstructionsText2"/>
        <w:numPr>
          <w:ilvl w:val="0"/>
          <w:numId w:val="0"/>
        </w:numPr>
        <w:ind w:left="1440" w:hanging="360"/>
        <w:rPr>
          <w:rFonts w:eastAsia="Times New Roman"/>
          <w:bCs/>
          <w:sz w:val="24"/>
          <w:lang w:eastAsia="de-DE"/>
        </w:rPr>
      </w:pPr>
    </w:p>
    <w:p w14:paraId="5CC0B733" w14:textId="19E81A04" w:rsidR="00627E07" w:rsidRPr="00B817D9" w:rsidRDefault="007E2989" w:rsidP="009339D1">
      <w:pPr>
        <w:pStyle w:val="InstructionsText2"/>
        <w:numPr>
          <w:ilvl w:val="0"/>
          <w:numId w:val="0"/>
        </w:numPr>
        <w:ind w:left="1440" w:hanging="360"/>
        <w:rPr>
          <w:rFonts w:eastAsia="Times New Roman"/>
          <w:bCs/>
          <w:sz w:val="24"/>
        </w:rPr>
      </w:pPr>
      <w:r w:rsidRPr="00B817D9">
        <w:rPr>
          <w:sz w:val="24"/>
        </w:rPr>
        <w:t>c.</w:t>
      </w:r>
      <w:r w:rsidRPr="00B817D9">
        <w:tab/>
      </w:r>
      <w:r w:rsidRPr="00B817D9">
        <w:rPr>
          <w:sz w:val="24"/>
        </w:rPr>
        <w:t xml:space="preserve">SFT to skrót nazwy </w:t>
      </w:r>
      <w:r w:rsidRPr="00B817D9">
        <w:rPr>
          <w:i/>
          <w:iCs/>
          <w:sz w:val="24"/>
        </w:rPr>
        <w:t>Securities Financing Transaction</w:t>
      </w:r>
      <w:r w:rsidRPr="00B817D9">
        <w:rPr>
          <w:sz w:val="24"/>
        </w:rPr>
        <w:t xml:space="preserve"> (transakcja finansowana</w:t>
      </w:r>
      <w:r w:rsidR="00B817D9" w:rsidRPr="00B817D9">
        <w:rPr>
          <w:sz w:val="24"/>
        </w:rPr>
        <w:t xml:space="preserve"> z</w:t>
      </w:r>
      <w:r w:rsidR="00B817D9">
        <w:rPr>
          <w:sz w:val="24"/>
        </w:rPr>
        <w:t> </w:t>
      </w:r>
      <w:r w:rsidR="00B817D9" w:rsidRPr="00B817D9">
        <w:rPr>
          <w:sz w:val="24"/>
        </w:rPr>
        <w:t>uży</w:t>
      </w:r>
      <w:r w:rsidRPr="00B817D9">
        <w:rPr>
          <w:sz w:val="24"/>
        </w:rPr>
        <w:t>ciem papierów wartościowych)</w:t>
      </w:r>
      <w:r w:rsidR="00B817D9" w:rsidRPr="00B817D9">
        <w:rPr>
          <w:sz w:val="24"/>
        </w:rPr>
        <w:t xml:space="preserve"> i</w:t>
      </w:r>
      <w:r w:rsidR="00B817D9">
        <w:rPr>
          <w:sz w:val="24"/>
        </w:rPr>
        <w:t> </w:t>
      </w:r>
      <w:r w:rsidR="00B817D9" w:rsidRPr="00B817D9">
        <w:rPr>
          <w:sz w:val="24"/>
        </w:rPr>
        <w:t>ozn</w:t>
      </w:r>
      <w:r w:rsidRPr="00B817D9">
        <w:rPr>
          <w:sz w:val="24"/>
        </w:rPr>
        <w:t>acza „transakcję odkupu, transakcję udzielenia lub zaciągnięcia pożyczki papierów wartościowych lub towarów lub transakcję</w:t>
      </w:r>
      <w:r w:rsidR="00B817D9" w:rsidRPr="00B817D9">
        <w:rPr>
          <w:sz w:val="24"/>
        </w:rPr>
        <w:t xml:space="preserve"> z</w:t>
      </w:r>
      <w:r w:rsidR="00B817D9">
        <w:rPr>
          <w:sz w:val="24"/>
        </w:rPr>
        <w:t> </w:t>
      </w:r>
      <w:r w:rsidR="00B817D9" w:rsidRPr="00B817D9">
        <w:rPr>
          <w:sz w:val="24"/>
        </w:rPr>
        <w:t>obo</w:t>
      </w:r>
      <w:r w:rsidRPr="00B817D9">
        <w:rPr>
          <w:sz w:val="24"/>
        </w:rPr>
        <w:t>wiązkiem uzupełnienia zabezpieczenia kredytowego”, zgodnie</w:t>
      </w:r>
      <w:r w:rsidR="00B817D9" w:rsidRPr="00B817D9">
        <w:rPr>
          <w:sz w:val="24"/>
        </w:rPr>
        <w:t xml:space="preserve"> z</w:t>
      </w:r>
      <w:r w:rsidR="00B817D9">
        <w:rPr>
          <w:sz w:val="24"/>
        </w:rPr>
        <w:t> </w:t>
      </w:r>
      <w:r w:rsidR="00B817D9" w:rsidRPr="00B817D9">
        <w:rPr>
          <w:sz w:val="24"/>
        </w:rPr>
        <w:t>def</w:t>
      </w:r>
      <w:r w:rsidRPr="00B817D9">
        <w:rPr>
          <w:sz w:val="24"/>
        </w:rPr>
        <w:t>inicją</w:t>
      </w:r>
      <w:r w:rsidR="00B817D9" w:rsidRPr="00B817D9">
        <w:rPr>
          <w:sz w:val="24"/>
        </w:rPr>
        <w:t xml:space="preserve"> w</w:t>
      </w:r>
      <w:r w:rsidR="00B817D9">
        <w:rPr>
          <w:sz w:val="24"/>
        </w:rPr>
        <w:t> </w:t>
      </w:r>
      <w:r w:rsidR="00B817D9" w:rsidRPr="00B817D9">
        <w:rPr>
          <w:sz w:val="24"/>
        </w:rPr>
        <w:t>art</w:t>
      </w:r>
      <w:r w:rsidRPr="00B817D9">
        <w:rPr>
          <w:sz w:val="24"/>
        </w:rPr>
        <w:t>.</w:t>
      </w:r>
      <w:r w:rsidR="00B817D9" w:rsidRPr="00B817D9">
        <w:rPr>
          <w:sz w:val="24"/>
        </w:rPr>
        <w:t> </w:t>
      </w:r>
      <w:r w:rsidRPr="00B817D9">
        <w:rPr>
          <w:sz w:val="24"/>
        </w:rPr>
        <w:t>4 ust.</w:t>
      </w:r>
      <w:r w:rsidR="00B817D9" w:rsidRPr="00B817D9">
        <w:rPr>
          <w:sz w:val="24"/>
        </w:rPr>
        <w:t> </w:t>
      </w:r>
      <w:r w:rsidRPr="00B817D9">
        <w:rPr>
          <w:sz w:val="24"/>
        </w:rPr>
        <w:t>1 pkt</w:t>
      </w:r>
      <w:r w:rsidR="00B817D9" w:rsidRPr="00B817D9">
        <w:rPr>
          <w:sz w:val="24"/>
        </w:rPr>
        <w:t> </w:t>
      </w:r>
      <w:r w:rsidRPr="00B817D9">
        <w:rPr>
          <w:sz w:val="24"/>
        </w:rPr>
        <w:t>139 rozporządzenia (UE) nr</w:t>
      </w:r>
      <w:r w:rsidR="00B817D9" w:rsidRPr="00B817D9">
        <w:rPr>
          <w:sz w:val="24"/>
        </w:rPr>
        <w:t> </w:t>
      </w:r>
      <w:r w:rsidRPr="00B817D9">
        <w:rPr>
          <w:sz w:val="24"/>
        </w:rPr>
        <w:t>575/2013;</w:t>
      </w:r>
    </w:p>
    <w:p w14:paraId="68410368" w14:textId="7E4CDAEF" w:rsidR="008E7068" w:rsidRPr="00B817D9" w:rsidRDefault="007E2989" w:rsidP="009339D1">
      <w:pPr>
        <w:pStyle w:val="InstructionsText2"/>
        <w:numPr>
          <w:ilvl w:val="0"/>
          <w:numId w:val="0"/>
        </w:numPr>
        <w:ind w:left="1440" w:hanging="360"/>
        <w:rPr>
          <w:rFonts w:eastAsia="Times New Roman"/>
          <w:bCs/>
          <w:sz w:val="24"/>
        </w:rPr>
      </w:pPr>
      <w:r w:rsidRPr="00B817D9">
        <w:rPr>
          <w:sz w:val="24"/>
        </w:rPr>
        <w:t>d.</w:t>
      </w:r>
      <w:r w:rsidRPr="00B817D9">
        <w:tab/>
      </w:r>
      <w:r w:rsidRPr="00B817D9">
        <w:rPr>
          <w:sz w:val="24"/>
        </w:rPr>
        <w:t xml:space="preserve">CRM to skrót nazwy </w:t>
      </w:r>
      <w:r w:rsidRPr="00B817D9">
        <w:rPr>
          <w:i/>
          <w:iCs/>
          <w:sz w:val="24"/>
        </w:rPr>
        <w:t>Credit Risk Mitigation</w:t>
      </w:r>
      <w:r w:rsidRPr="00B817D9">
        <w:rPr>
          <w:sz w:val="24"/>
        </w:rPr>
        <w:t xml:space="preserve"> (ograniczenie ryzyka kredytowego);</w:t>
      </w:r>
    </w:p>
    <w:p w14:paraId="212C8B7E" w14:textId="6577F157" w:rsidR="007E2989" w:rsidRPr="00B817D9" w:rsidRDefault="007E2989" w:rsidP="009339D1">
      <w:pPr>
        <w:pStyle w:val="InstructionsText2"/>
        <w:numPr>
          <w:ilvl w:val="0"/>
          <w:numId w:val="0"/>
        </w:numPr>
        <w:ind w:left="1440" w:hanging="360"/>
        <w:rPr>
          <w:rFonts w:eastAsia="Times New Roman"/>
          <w:bCs/>
          <w:sz w:val="24"/>
        </w:rPr>
      </w:pPr>
      <w:r w:rsidRPr="00B817D9">
        <w:rPr>
          <w:sz w:val="24"/>
        </w:rPr>
        <w:t>e.</w:t>
      </w:r>
      <w:r w:rsidRPr="00B817D9">
        <w:tab/>
      </w:r>
      <w:r w:rsidRPr="00B817D9">
        <w:rPr>
          <w:sz w:val="24"/>
        </w:rPr>
        <w:t xml:space="preserve">CDPW to skrót nazwy </w:t>
      </w:r>
      <w:r w:rsidRPr="00B817D9">
        <w:rPr>
          <w:i/>
          <w:iCs/>
          <w:sz w:val="24"/>
        </w:rPr>
        <w:t>centralny depozyt papierów wartościowych</w:t>
      </w:r>
      <w:r w:rsidRPr="00B817D9">
        <w:rPr>
          <w:sz w:val="24"/>
        </w:rPr>
        <w:t>;</w:t>
      </w:r>
    </w:p>
    <w:p w14:paraId="44F02B07" w14:textId="457293D0" w:rsidR="007E2989" w:rsidRPr="00B817D9" w:rsidRDefault="007E2989" w:rsidP="009339D1">
      <w:pPr>
        <w:pStyle w:val="InstructionsText2"/>
        <w:numPr>
          <w:ilvl w:val="0"/>
          <w:numId w:val="0"/>
        </w:numPr>
        <w:ind w:left="1440" w:hanging="360"/>
        <w:rPr>
          <w:rFonts w:eastAsia="Times New Roman"/>
          <w:bCs/>
          <w:sz w:val="24"/>
        </w:rPr>
      </w:pPr>
      <w:r w:rsidRPr="00B817D9">
        <w:rPr>
          <w:sz w:val="24"/>
        </w:rPr>
        <w:t xml:space="preserve">f. </w:t>
      </w:r>
      <w:r w:rsidRPr="00B817D9">
        <w:tab/>
      </w:r>
      <w:r w:rsidRPr="00B817D9">
        <w:rPr>
          <w:sz w:val="24"/>
        </w:rPr>
        <w:t xml:space="preserve">QCCP to skrót nazwy </w:t>
      </w:r>
      <w:r w:rsidRPr="00B817D9">
        <w:rPr>
          <w:i/>
          <w:iCs/>
          <w:sz w:val="24"/>
        </w:rPr>
        <w:t>Qualifying Central Counterparty</w:t>
      </w:r>
      <w:r w:rsidRPr="00B817D9">
        <w:rPr>
          <w:sz w:val="24"/>
        </w:rPr>
        <w:t xml:space="preserve"> (kwalifikujący się kontrahent centralny);</w:t>
      </w:r>
    </w:p>
    <w:p w14:paraId="4CAF859B" w14:textId="77777777" w:rsidR="007E2989" w:rsidRPr="00B817D9" w:rsidRDefault="007E2989" w:rsidP="009339D1">
      <w:pPr>
        <w:pStyle w:val="InstructionsText2"/>
        <w:numPr>
          <w:ilvl w:val="0"/>
          <w:numId w:val="0"/>
        </w:numPr>
        <w:ind w:left="1440" w:hanging="360"/>
        <w:rPr>
          <w:rFonts w:eastAsia="Times New Roman"/>
          <w:bCs/>
          <w:sz w:val="24"/>
        </w:rPr>
      </w:pPr>
      <w:r w:rsidRPr="00B817D9">
        <w:rPr>
          <w:sz w:val="24"/>
        </w:rPr>
        <w:t xml:space="preserve">g. </w:t>
      </w:r>
      <w:r w:rsidRPr="00B817D9">
        <w:tab/>
      </w:r>
      <w:r w:rsidRPr="00B817D9">
        <w:rPr>
          <w:sz w:val="24"/>
        </w:rPr>
        <w:t xml:space="preserve">PFE to skrót nazwy </w:t>
      </w:r>
      <w:r w:rsidRPr="00B817D9">
        <w:rPr>
          <w:i/>
          <w:iCs/>
          <w:sz w:val="24"/>
        </w:rPr>
        <w:t>Potential Future Exposure</w:t>
      </w:r>
      <w:r w:rsidRPr="00B817D9">
        <w:rPr>
          <w:sz w:val="24"/>
        </w:rPr>
        <w:t xml:space="preserve"> (potencjalna przyszła ekspozycja).</w:t>
      </w:r>
    </w:p>
    <w:p w14:paraId="04A571E4" w14:textId="77777777" w:rsidR="00217D1F" w:rsidRPr="00B817D9"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604480"/>
      <w:r w:rsidRPr="00B817D9">
        <w:rPr>
          <w:rFonts w:ascii="Times New Roman" w:hAnsi="Times New Roman"/>
          <w:b/>
          <w:sz w:val="24"/>
        </w:rPr>
        <w:t>1.4.</w:t>
      </w:r>
      <w:r w:rsidRPr="00B817D9">
        <w:tab/>
      </w:r>
      <w:r w:rsidRPr="00B817D9">
        <w:rPr>
          <w:rFonts w:ascii="Times New Roman" w:hAnsi="Times New Roman"/>
          <w:b/>
          <w:sz w:val="24"/>
        </w:rPr>
        <w:t>Konwencja znaku</w:t>
      </w:r>
      <w:bookmarkEnd w:id="15"/>
      <w:bookmarkEnd w:id="16"/>
      <w:bookmarkEnd w:id="26"/>
      <w:bookmarkEnd w:id="27"/>
      <w:bookmarkEnd w:id="28"/>
      <w:bookmarkEnd w:id="29"/>
      <w:bookmarkEnd w:id="30"/>
    </w:p>
    <w:p w14:paraId="077A5720" w14:textId="6D84732B" w:rsidR="0058289F" w:rsidRPr="00B817D9" w:rsidRDefault="00500508" w:rsidP="009339D1">
      <w:pPr>
        <w:pStyle w:val="InstructionsText2"/>
        <w:numPr>
          <w:ilvl w:val="0"/>
          <w:numId w:val="0"/>
        </w:numPr>
        <w:ind w:left="720" w:hanging="360"/>
        <w:rPr>
          <w:rFonts w:eastAsia="Times New Roman"/>
          <w:bCs/>
          <w:sz w:val="24"/>
        </w:rPr>
      </w:pPr>
      <w:bookmarkStart w:id="31" w:name="_Toc322687869"/>
      <w:r w:rsidRPr="00B817D9">
        <w:rPr>
          <w:sz w:val="24"/>
        </w:rPr>
        <w:t>9.</w:t>
      </w:r>
      <w:r w:rsidRPr="00B817D9">
        <w:tab/>
      </w:r>
      <w:r w:rsidRPr="00B817D9">
        <w:rPr>
          <w:sz w:val="24"/>
        </w:rPr>
        <w:t>Wszystkie kwoty są zgłaszane jako wartości dodatnie</w:t>
      </w:r>
      <w:r w:rsidR="00B817D9" w:rsidRPr="00B817D9">
        <w:rPr>
          <w:sz w:val="24"/>
        </w:rPr>
        <w:t>.</w:t>
      </w:r>
      <w:bookmarkStart w:id="32" w:name="_Toc264033192"/>
      <w:bookmarkEnd w:id="32"/>
      <w:r w:rsidR="00B817D9" w:rsidRPr="00B817D9">
        <w:rPr>
          <w:sz w:val="24"/>
        </w:rPr>
        <w:t xml:space="preserve"> Z</w:t>
      </w:r>
      <w:r w:rsidR="00B817D9">
        <w:rPr>
          <w:sz w:val="24"/>
        </w:rPr>
        <w:t> </w:t>
      </w:r>
      <w:r w:rsidR="00B817D9" w:rsidRPr="00B817D9">
        <w:rPr>
          <w:sz w:val="24"/>
        </w:rPr>
        <w:t>wyj</w:t>
      </w:r>
      <w:r w:rsidRPr="00B817D9">
        <w:rPr>
          <w:sz w:val="24"/>
        </w:rPr>
        <w:t>ątkiem:</w:t>
      </w:r>
    </w:p>
    <w:p w14:paraId="7B6D27CF" w14:textId="6D515636" w:rsidR="0058289F" w:rsidRPr="00B817D9" w:rsidRDefault="00A5392D" w:rsidP="009339D1">
      <w:pPr>
        <w:pStyle w:val="InstructionsText2"/>
        <w:numPr>
          <w:ilvl w:val="0"/>
          <w:numId w:val="25"/>
        </w:numPr>
        <w:rPr>
          <w:rFonts w:eastAsia="Times New Roman"/>
          <w:bCs/>
          <w:sz w:val="24"/>
        </w:rPr>
      </w:pPr>
      <w:r w:rsidRPr="00B817D9">
        <w:rPr>
          <w:sz w:val="24"/>
        </w:rPr>
        <w:t>pozycji, których oznaczenie poprzedza znak ujemny (-),</w:t>
      </w:r>
      <w:r w:rsidR="00B817D9" w:rsidRPr="00B817D9">
        <w:rPr>
          <w:sz w:val="24"/>
        </w:rPr>
        <w:t xml:space="preserve"> w</w:t>
      </w:r>
      <w:r w:rsidR="00B817D9">
        <w:rPr>
          <w:sz w:val="24"/>
        </w:rPr>
        <w:t> </w:t>
      </w:r>
      <w:r w:rsidR="00B817D9" w:rsidRPr="00B817D9">
        <w:rPr>
          <w:sz w:val="24"/>
        </w:rPr>
        <w:t>prz</w:t>
      </w:r>
      <w:r w:rsidRPr="00B817D9">
        <w:rPr>
          <w:sz w:val="24"/>
        </w:rPr>
        <w:t>ypadku których nie oczekuje się zgłoszenia wartości dodatniej;</w:t>
      </w:r>
    </w:p>
    <w:p w14:paraId="259D3174" w14:textId="145F8255" w:rsidR="00E40D66" w:rsidRPr="00B817D9" w:rsidRDefault="00E40D66" w:rsidP="009339D1">
      <w:pPr>
        <w:pStyle w:val="InstructionsText2"/>
        <w:numPr>
          <w:ilvl w:val="0"/>
          <w:numId w:val="25"/>
        </w:numPr>
        <w:rPr>
          <w:rFonts w:eastAsia="Times New Roman"/>
          <w:bCs/>
          <w:sz w:val="24"/>
        </w:rPr>
      </w:pPr>
      <w:r w:rsidRPr="00B817D9">
        <w:rPr>
          <w:sz w:val="24"/>
        </w:rPr>
        <w:t>{LRCalc;0310;0010}, {LRCalc;0320;0010}, {LRCalc;0330;0010}, {LRCalc;0340;0010}, które</w:t>
      </w:r>
      <w:r w:rsidR="00B817D9" w:rsidRPr="00B817D9">
        <w:rPr>
          <w:sz w:val="24"/>
        </w:rPr>
        <w:t xml:space="preserve"> w</w:t>
      </w:r>
      <w:r w:rsidR="00B817D9">
        <w:rPr>
          <w:sz w:val="24"/>
        </w:rPr>
        <w:t> </w:t>
      </w:r>
      <w:r w:rsidR="00B817D9" w:rsidRPr="00B817D9">
        <w:rPr>
          <w:sz w:val="24"/>
        </w:rPr>
        <w:t>skr</w:t>
      </w:r>
      <w:r w:rsidRPr="00B817D9">
        <w:rPr>
          <w:sz w:val="24"/>
        </w:rPr>
        <w:t>ajnych przypadkach mogą przyjąć wartość ujemną,</w:t>
      </w:r>
      <w:r w:rsidR="00B817D9" w:rsidRPr="00B817D9">
        <w:rPr>
          <w:sz w:val="24"/>
        </w:rPr>
        <w:t xml:space="preserve"> w</w:t>
      </w:r>
      <w:r w:rsidR="00B817D9">
        <w:rPr>
          <w:sz w:val="24"/>
        </w:rPr>
        <w:t> </w:t>
      </w:r>
      <w:r w:rsidR="00B817D9" w:rsidRPr="00B817D9">
        <w:rPr>
          <w:sz w:val="24"/>
        </w:rPr>
        <w:t>prz</w:t>
      </w:r>
      <w:r w:rsidRPr="00B817D9">
        <w:rPr>
          <w:sz w:val="24"/>
        </w:rPr>
        <w:t>eciwnym razie przyjmują wartości dodatnie.</w:t>
      </w:r>
    </w:p>
    <w:p w14:paraId="1A7EEF5B" w14:textId="10CFE72E" w:rsidR="0060741B" w:rsidRPr="00B817D9" w:rsidRDefault="00C62C1B" w:rsidP="00AB2B09">
      <w:pPr>
        <w:pStyle w:val="InstructionsText2"/>
        <w:numPr>
          <w:ilvl w:val="0"/>
          <w:numId w:val="0"/>
        </w:numPr>
        <w:ind w:left="1080"/>
        <w:rPr>
          <w:rFonts w:eastAsia="Times New Roman"/>
          <w:bCs/>
          <w:sz w:val="24"/>
        </w:rPr>
      </w:pPr>
      <w:r w:rsidRPr="00B817D9">
        <w:rPr>
          <w:sz w:val="24"/>
        </w:rPr>
        <w:t xml:space="preserve"> </w:t>
      </w:r>
    </w:p>
    <w:p w14:paraId="12B14317" w14:textId="77777777" w:rsidR="001F28C3" w:rsidRPr="00B817D9" w:rsidRDefault="00360A3D" w:rsidP="009339D1">
      <w:pPr>
        <w:pStyle w:val="InstructionsText2"/>
        <w:numPr>
          <w:ilvl w:val="0"/>
          <w:numId w:val="0"/>
        </w:numPr>
        <w:ind w:left="720"/>
        <w:rPr>
          <w:rFonts w:eastAsia="Times New Roman"/>
          <w:bCs/>
          <w:sz w:val="24"/>
        </w:rPr>
      </w:pPr>
      <w:r w:rsidRPr="00B817D9">
        <w:rPr>
          <w:sz w:val="24"/>
        </w:rPr>
        <w:t xml:space="preserve"> </w:t>
      </w:r>
    </w:p>
    <w:p w14:paraId="35677258" w14:textId="77777777" w:rsidR="00217D1F" w:rsidRPr="00B817D9" w:rsidRDefault="00F4754B" w:rsidP="000B66BC">
      <w:pPr>
        <w:pStyle w:val="BodyText1"/>
        <w:spacing w:after="240"/>
        <w:outlineLvl w:val="0"/>
        <w:rPr>
          <w:rFonts w:ascii="Times New Roman" w:hAnsi="Times New Roman"/>
          <w:b/>
          <w:sz w:val="24"/>
          <w:szCs w:val="24"/>
        </w:rPr>
      </w:pPr>
      <w:r w:rsidRPr="00B817D9">
        <w:br w:type="page"/>
      </w:r>
      <w:bookmarkStart w:id="33" w:name="_Toc351048504"/>
      <w:bookmarkStart w:id="34" w:name="_Toc359414281"/>
      <w:bookmarkStart w:id="35" w:name="_Toc423089066"/>
      <w:bookmarkStart w:id="36" w:name="_Toc188604481"/>
      <w:r w:rsidRPr="00B817D9">
        <w:rPr>
          <w:rFonts w:ascii="Times New Roman" w:hAnsi="Times New Roman"/>
          <w:b/>
          <w:sz w:val="24"/>
        </w:rPr>
        <w:lastRenderedPageBreak/>
        <w:t>CZĘŚĆ II: INSTRUKCJE DOTYCZĄCE WZORÓW</w:t>
      </w:r>
      <w:bookmarkEnd w:id="31"/>
      <w:bookmarkEnd w:id="33"/>
      <w:bookmarkEnd w:id="34"/>
      <w:bookmarkEnd w:id="35"/>
      <w:bookmarkEnd w:id="36"/>
    </w:p>
    <w:p w14:paraId="4C8C375F" w14:textId="77777777" w:rsidR="00505096" w:rsidRPr="00B817D9"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188604482"/>
      <w:bookmarkStart w:id="40" w:name="_Toc322533849"/>
      <w:r w:rsidRPr="00B817D9">
        <w:rPr>
          <w:rFonts w:ascii="Times New Roman" w:hAnsi="Times New Roman"/>
          <w:b/>
          <w:sz w:val="24"/>
        </w:rPr>
        <w:t>1.</w:t>
      </w:r>
      <w:r w:rsidRPr="00B817D9">
        <w:tab/>
      </w:r>
      <w:r w:rsidRPr="00B817D9">
        <w:rPr>
          <w:rFonts w:ascii="Times New Roman" w:hAnsi="Times New Roman"/>
          <w:b/>
          <w:sz w:val="24"/>
        </w:rPr>
        <w:t>Wzory do obliczania wskaźnika dźwigni</w:t>
      </w:r>
      <w:bookmarkEnd w:id="37"/>
      <w:bookmarkEnd w:id="38"/>
      <w:bookmarkEnd w:id="39"/>
    </w:p>
    <w:p w14:paraId="23B05B4C" w14:textId="2D409368" w:rsidR="00505096" w:rsidRPr="00B817D9" w:rsidRDefault="006F588E"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1.</w:t>
      </w:r>
      <w:r w:rsidRPr="00B817D9">
        <w:tab/>
      </w:r>
      <w:r w:rsidRPr="00B817D9">
        <w:rPr>
          <w:rFonts w:ascii="Times New Roman" w:hAnsi="Times New Roman"/>
          <w:sz w:val="24"/>
        </w:rPr>
        <w:t>Wskaźnik dźwigni oparty jest na mierze kapitału</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mie</w:t>
      </w:r>
      <w:r w:rsidRPr="00B817D9">
        <w:rPr>
          <w:rFonts w:ascii="Times New Roman" w:hAnsi="Times New Roman"/>
          <w:sz w:val="24"/>
        </w:rPr>
        <w:t xml:space="preserve">rze ekspozycji całkowitej, które można obliczyć na podstawie komórek w LRCalc. </w:t>
      </w:r>
    </w:p>
    <w:p w14:paraId="25E094A5" w14:textId="33ABB6D2" w:rsidR="00F4754B" w:rsidRPr="00B817D9" w:rsidRDefault="006F588E"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2.</w:t>
      </w:r>
      <w:r w:rsidRPr="00B817D9">
        <w:tab/>
      </w:r>
      <w:r w:rsidRPr="00B817D9">
        <w:rPr>
          <w:rFonts w:ascii="Times New Roman" w:hAnsi="Times New Roman"/>
          <w:sz w:val="24"/>
        </w:rPr>
        <w:t>Wskaźnik dźwigni –</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peł</w:t>
      </w:r>
      <w:r w:rsidRPr="00B817D9">
        <w:rPr>
          <w:rFonts w:ascii="Times New Roman" w:hAnsi="Times New Roman"/>
          <w:sz w:val="24"/>
        </w:rPr>
        <w:t>ni wprowadzona definicja = {LRCalc;0310;0010} / {LRCalc;0290;0010}.</w:t>
      </w:r>
    </w:p>
    <w:p w14:paraId="0177EE20" w14:textId="51F58570" w:rsidR="00B8400B" w:rsidRPr="00B817D9" w:rsidRDefault="006F588E"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3.</w:t>
      </w:r>
      <w:r w:rsidRPr="00B817D9">
        <w:tab/>
      </w:r>
      <w:r w:rsidRPr="00B817D9">
        <w:rPr>
          <w:rFonts w:ascii="Times New Roman" w:hAnsi="Times New Roman"/>
          <w:sz w:val="24"/>
        </w:rPr>
        <w:t>Wskaźnik dźwigni – definicja przejściowa = {LRCalc;0320;0010} / {LRCalc;0300;0010}.</w:t>
      </w:r>
    </w:p>
    <w:p w14:paraId="5857476D" w14:textId="11118B79" w:rsidR="00505096" w:rsidRPr="00B817D9"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188604483"/>
      <w:bookmarkStart w:id="44" w:name="_Toc322533852"/>
      <w:bookmarkEnd w:id="40"/>
      <w:r w:rsidRPr="00B817D9">
        <w:rPr>
          <w:rFonts w:ascii="Times New Roman" w:hAnsi="Times New Roman"/>
          <w:b/>
          <w:sz w:val="24"/>
        </w:rPr>
        <w:t>2.</w:t>
      </w:r>
      <w:r w:rsidRPr="00B817D9">
        <w:tab/>
      </w:r>
      <w:r w:rsidRPr="00B817D9">
        <w:rPr>
          <w:rFonts w:ascii="Times New Roman" w:hAnsi="Times New Roman"/>
          <w:b/>
          <w:sz w:val="24"/>
        </w:rPr>
        <w:t>Progi istotności dla instrumentów pochodnych</w:t>
      </w:r>
      <w:bookmarkEnd w:id="41"/>
      <w:bookmarkEnd w:id="42"/>
      <w:bookmarkEnd w:id="43"/>
    </w:p>
    <w:p w14:paraId="677B6944" w14:textId="21DF22E9" w:rsidR="00F4754B" w:rsidRPr="00B817D9" w:rsidRDefault="006F588E"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4.</w:t>
      </w:r>
      <w:r w:rsidRPr="00B817D9">
        <w:tab/>
      </w:r>
      <w:r w:rsidRPr="00B817D9">
        <w:rPr>
          <w:rFonts w:ascii="Times New Roman" w:hAnsi="Times New Roman"/>
          <w:sz w:val="24"/>
        </w:rPr>
        <w:t>W celu zmniejszenia obciążenia obowiązkiem sprawozdawczym instytucji, które charakteryzują się ograniczoną ekspozycją</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instrumentów pochodnych, do ustalenia względnej istotności ekspozycji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instrumentów pochodnych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ekspozycji całkowitej wskaźnika dźwigni wykorzystuje się poniżej opisane miary. Instytucje obliczają te miary według następującego wzoru</w:t>
      </w:r>
      <w:bookmarkStart w:id="45" w:name="_Toc322533853"/>
      <w:bookmarkEnd w:id="44"/>
      <w:r w:rsidRPr="00B817D9">
        <w:rPr>
          <w:rFonts w:ascii="Times New Roman" w:hAnsi="Times New Roman"/>
          <w:sz w:val="24"/>
        </w:rPr>
        <w:t>:</w:t>
      </w:r>
    </w:p>
    <w:p w14:paraId="1388E099" w14:textId="495592F6" w:rsidR="00354188" w:rsidRPr="00B817D9"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B817D9">
        <w:rPr>
          <w:rFonts w:ascii="Times New Roman" w:hAnsi="Times New Roman"/>
          <w:sz w:val="24"/>
        </w:rPr>
        <w:t>5.</w:t>
      </w:r>
      <w:r w:rsidRPr="00B817D9">
        <w:tab/>
      </w:r>
      <w:r w:rsidRPr="00B817D9">
        <w:rPr>
          <w:rFonts w:ascii="Times New Roman" w:hAnsi="Times New Roman"/>
          <w:sz w:val="24"/>
        </w:rPr>
        <w:t xml:space="preserve">Udział instrumentów pochodnych = </w:t>
      </w:r>
      <m:oMath>
        <m:f>
          <m:fPr>
            <m:ctrlPr>
              <w:rPr>
                <w:rFonts w:ascii="Cambria Math" w:hAnsi="Times New Roman"/>
                <w:sz w:val="24"/>
                <w:szCs w:val="24"/>
              </w:rPr>
            </m:ctrlPr>
          </m:fPr>
          <m:num>
            <m:r>
              <m:rPr>
                <m:sty m:val="p"/>
              </m:rPr>
              <w:rPr>
                <w:rFonts w:ascii="Cambria Math" w:hAnsi="Times New Roman"/>
                <w:sz w:val="24"/>
                <w:szCs w:val="24"/>
              </w:rPr>
              <m:t>Miara ekspozycji</m:t>
            </m:r>
            <m:r>
              <m:rPr>
                <m:sty m:val="p"/>
              </m:rPr>
              <w:rPr>
                <w:rFonts w:ascii="Cambria Math" w:hAnsi="Times New Roman"/>
                <w:sz w:val="24"/>
                <w:szCs w:val="24"/>
              </w:rPr>
              <m:t xml:space="preserve"> z</m:t>
            </m:r>
            <m:r>
              <m:rPr>
                <m:sty m:val="p"/>
              </m:rPr>
              <w:rPr>
                <w:rFonts w:ascii="Cambria Math" w:hAnsi="Times New Roman"/>
                <w:sz w:val="24"/>
                <w:szCs w:val="24"/>
              </w:rPr>
              <m:t> </m:t>
            </m:r>
            <m:r>
              <m:rPr>
                <m:sty m:val="p"/>
              </m:rPr>
              <w:rPr>
                <w:rFonts w:ascii="Cambria Math" w:hAnsi="Times New Roman"/>
                <w:sz w:val="24"/>
                <w:szCs w:val="24"/>
              </w:rPr>
              <m:t>tyt</m:t>
            </m:r>
            <m:r>
              <m:rPr>
                <m:sty m:val="p"/>
              </m:rPr>
              <w:rPr>
                <w:rFonts w:ascii="Cambria Math" w:hAnsi="Times New Roman"/>
                <w:sz w:val="24"/>
                <w:szCs w:val="24"/>
              </w:rPr>
              <m:t>u</m:t>
            </m:r>
            <m:r>
              <m:rPr>
                <m:sty m:val="p"/>
              </m:rPr>
              <w:rPr>
                <w:rFonts w:ascii="Cambria Math" w:hAnsi="Times New Roman"/>
                <w:sz w:val="24"/>
                <w:szCs w:val="24"/>
              </w:rPr>
              <m:t>ł</m:t>
            </m:r>
            <m:r>
              <m:rPr>
                <m:sty m:val="p"/>
              </m:rPr>
              <w:rPr>
                <w:rFonts w:ascii="Cambria Math" w:hAnsi="Times New Roman"/>
                <w:sz w:val="24"/>
                <w:szCs w:val="24"/>
              </w:rPr>
              <m:t>u instrument</m:t>
            </m:r>
            <m:r>
              <m:rPr>
                <m:sty m:val="p"/>
              </m:rPr>
              <w:rPr>
                <w:rFonts w:ascii="Cambria Math" w:hAnsi="Times New Roman"/>
                <w:sz w:val="24"/>
                <w:szCs w:val="24"/>
              </w:rPr>
              <m:t>ó</m:t>
            </m:r>
            <m:r>
              <m:rPr>
                <m:sty m:val="p"/>
              </m:rPr>
              <w:rPr>
                <w:rFonts w:ascii="Cambria Math" w:hAnsi="Times New Roman"/>
                <w:sz w:val="24"/>
                <w:szCs w:val="24"/>
              </w:rPr>
              <m:t>w pochodnych</m:t>
            </m:r>
          </m:num>
          <m:den>
            <m:r>
              <m:rPr>
                <m:sty m:val="p"/>
              </m:rPr>
              <w:rPr>
                <w:rFonts w:ascii="Cambria Math" w:hAnsi="Times New Roman"/>
                <w:sz w:val="24"/>
                <w:szCs w:val="24"/>
              </w:rPr>
              <m:t>Miara ekspozycji ca</m:t>
            </m:r>
            <m:r>
              <m:rPr>
                <m:sty m:val="p"/>
              </m:rPr>
              <w:rPr>
                <w:rFonts w:ascii="Cambria Math" w:hAnsi="Times New Roman"/>
                <w:sz w:val="24"/>
                <w:szCs w:val="24"/>
              </w:rPr>
              <m:t>ł</m:t>
            </m:r>
            <m:r>
              <m:rPr>
                <m:sty m:val="p"/>
              </m:rPr>
              <w:rPr>
                <w:rFonts w:ascii="Cambria Math" w:hAnsi="Times New Roman"/>
                <w:sz w:val="24"/>
                <w:szCs w:val="24"/>
              </w:rPr>
              <m:t>kowitej</m:t>
            </m:r>
          </m:den>
        </m:f>
      </m:oMath>
      <w:r w:rsidRPr="00B817D9">
        <w:rPr>
          <w:rFonts w:ascii="Times New Roman" w:hAnsi="Times New Roman"/>
          <w:sz w:val="24"/>
        </w:rPr>
        <w:t>.</w:t>
      </w:r>
    </w:p>
    <w:p w14:paraId="59FDE449" w14:textId="738695B1" w:rsidR="00FC2664" w:rsidRPr="00B817D9" w:rsidRDefault="006F588E"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6.</w:t>
      </w:r>
      <w:r w:rsidRPr="00B817D9">
        <w:tab/>
      </w:r>
      <w:r w:rsidRPr="00B817D9">
        <w:rPr>
          <w:rFonts w:ascii="Times New Roman" w:hAnsi="Times New Roman"/>
          <w:sz w:val="24"/>
        </w:rPr>
        <w:t>Gdzie miara ekspozycji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instrumentów pochodnych wynosi: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B817D9" w:rsidRDefault="006F588E"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7.</w:t>
      </w:r>
      <w:r w:rsidRPr="00B817D9">
        <w:tab/>
      </w:r>
      <w:r w:rsidRPr="00B817D9">
        <w:rPr>
          <w:rFonts w:ascii="Times New Roman" w:hAnsi="Times New Roman"/>
          <w:sz w:val="24"/>
        </w:rPr>
        <w:t>Gdzie miara ekspozycji całkowitej wynosi: {LRCalc;0290;0010}.</w:t>
      </w:r>
    </w:p>
    <w:p w14:paraId="236C5046" w14:textId="3D6A3933" w:rsidR="00F4754B" w:rsidRPr="00B817D9" w:rsidRDefault="006F588E"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8.</w:t>
      </w:r>
      <w:r w:rsidRPr="00B817D9">
        <w:tab/>
      </w:r>
      <w:r w:rsidRPr="00B817D9">
        <w:rPr>
          <w:rFonts w:ascii="Times New Roman" w:hAnsi="Times New Roman"/>
          <w:sz w:val="24"/>
        </w:rPr>
        <w:t>Całkowita kwota referencyjna instrumentów pochodnych = {LR1; 0010;0070}. Jest to komórka, której wartość instytucje zawsze zgłaszają.</w:t>
      </w:r>
    </w:p>
    <w:p w14:paraId="5F8B3FC4" w14:textId="32C9016A" w:rsidR="00F4754B" w:rsidRPr="00B817D9" w:rsidRDefault="006F588E"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9.</w:t>
      </w:r>
      <w:r w:rsidRPr="00B817D9">
        <w:tab/>
      </w:r>
      <w:r w:rsidRPr="00B817D9">
        <w:rPr>
          <w:rFonts w:ascii="Times New Roman" w:hAnsi="Times New Roman"/>
          <w:sz w:val="24"/>
        </w:rPr>
        <w:t>Wolumen kredytowych instrumentów pochodnych = {LR1;0020;0070} + {LR1;0050;0070}. Są to komórki, których wartość instytucje zawsze zgłaszają.</w:t>
      </w:r>
    </w:p>
    <w:p w14:paraId="10930518" w14:textId="2DA13045" w:rsidR="00F4754B" w:rsidRPr="00B817D9" w:rsidRDefault="006F588E"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10.</w:t>
      </w:r>
      <w:r w:rsidRPr="00B817D9">
        <w:tab/>
      </w:r>
      <w:r w:rsidRPr="00B817D9">
        <w:rPr>
          <w:rFonts w:ascii="Times New Roman" w:hAnsi="Times New Roman"/>
          <w:sz w:val="24"/>
        </w:rPr>
        <w:t>Instytucje mają obowiązek zgłosić wartość komórek,</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 </w:t>
      </w:r>
      <w:r w:rsidRPr="00B817D9">
        <w:rPr>
          <w:rFonts w:ascii="Times New Roman" w:hAnsi="Times New Roman"/>
          <w:sz w:val="24"/>
        </w:rPr>
        <w:t>13, jeśli spełniony zostanie którykolwiek</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pon</w:t>
      </w:r>
      <w:r w:rsidRPr="00B817D9">
        <w:rPr>
          <w:rFonts w:ascii="Times New Roman" w:hAnsi="Times New Roman"/>
          <w:sz w:val="24"/>
        </w:rPr>
        <w:t>iższych warunków:</w:t>
      </w:r>
    </w:p>
    <w:p w14:paraId="2564CD75" w14:textId="0FE533ED" w:rsidR="00F4754B" w:rsidRPr="00B817D9" w:rsidRDefault="007A001B" w:rsidP="009339D1">
      <w:pPr>
        <w:pStyle w:val="InstructionsText2"/>
        <w:numPr>
          <w:ilvl w:val="0"/>
          <w:numId w:val="39"/>
        </w:numPr>
        <w:rPr>
          <w:rFonts w:eastAsia="Times New Roman"/>
          <w:bCs/>
          <w:sz w:val="24"/>
        </w:rPr>
      </w:pPr>
      <w:r w:rsidRPr="00B817D9">
        <w:rPr>
          <w:sz w:val="24"/>
        </w:rPr>
        <w:t>udział instrumentów pochodnych,</w:t>
      </w:r>
      <w:r w:rsidR="00B817D9" w:rsidRPr="00B817D9">
        <w:rPr>
          <w:sz w:val="24"/>
        </w:rPr>
        <w:t xml:space="preserve"> o</w:t>
      </w:r>
      <w:r w:rsidR="00B817D9">
        <w:rPr>
          <w:sz w:val="24"/>
        </w:rPr>
        <w:t> </w:t>
      </w:r>
      <w:r w:rsidR="00B817D9" w:rsidRPr="00B817D9">
        <w:rPr>
          <w:sz w:val="24"/>
        </w:rPr>
        <w:t>któ</w:t>
      </w:r>
      <w:r w:rsidRPr="00B817D9">
        <w:rPr>
          <w:sz w:val="24"/>
        </w:rPr>
        <w:t>rym mowa</w:t>
      </w:r>
      <w:r w:rsidR="00B817D9" w:rsidRPr="00B817D9">
        <w:rPr>
          <w:sz w:val="24"/>
        </w:rPr>
        <w:t xml:space="preserve"> w</w:t>
      </w:r>
      <w:r w:rsidR="00B817D9">
        <w:rPr>
          <w:sz w:val="24"/>
        </w:rPr>
        <w:t> </w:t>
      </w:r>
      <w:r w:rsidR="00B817D9" w:rsidRPr="00B817D9">
        <w:rPr>
          <w:sz w:val="24"/>
        </w:rPr>
        <w:t>pkt </w:t>
      </w:r>
      <w:r w:rsidRPr="00B817D9">
        <w:rPr>
          <w:sz w:val="24"/>
        </w:rPr>
        <w:t>5, przekracza 1,5 %.</w:t>
      </w:r>
    </w:p>
    <w:p w14:paraId="272AC9A9" w14:textId="42B010B1" w:rsidR="00675587" w:rsidRPr="00B817D9" w:rsidRDefault="007A001B" w:rsidP="009339D1">
      <w:pPr>
        <w:pStyle w:val="InstructionsText2"/>
        <w:numPr>
          <w:ilvl w:val="0"/>
          <w:numId w:val="39"/>
        </w:numPr>
        <w:rPr>
          <w:rFonts w:eastAsia="Times New Roman"/>
          <w:bCs/>
          <w:sz w:val="24"/>
        </w:rPr>
      </w:pPr>
      <w:r w:rsidRPr="00B817D9">
        <w:rPr>
          <w:sz w:val="24"/>
        </w:rPr>
        <w:t>udział instrumentów pochodnych,</w:t>
      </w:r>
      <w:r w:rsidR="00B817D9" w:rsidRPr="00B817D9">
        <w:rPr>
          <w:sz w:val="24"/>
        </w:rPr>
        <w:t xml:space="preserve"> o</w:t>
      </w:r>
      <w:r w:rsidR="00B817D9">
        <w:rPr>
          <w:sz w:val="24"/>
        </w:rPr>
        <w:t> </w:t>
      </w:r>
      <w:r w:rsidR="00B817D9" w:rsidRPr="00B817D9">
        <w:rPr>
          <w:sz w:val="24"/>
        </w:rPr>
        <w:t>któ</w:t>
      </w:r>
      <w:r w:rsidRPr="00B817D9">
        <w:rPr>
          <w:sz w:val="24"/>
        </w:rPr>
        <w:t>rym mowa</w:t>
      </w:r>
      <w:r w:rsidR="00B817D9" w:rsidRPr="00B817D9">
        <w:rPr>
          <w:sz w:val="24"/>
        </w:rPr>
        <w:t xml:space="preserve"> w</w:t>
      </w:r>
      <w:r w:rsidR="00B817D9">
        <w:rPr>
          <w:sz w:val="24"/>
        </w:rPr>
        <w:t> </w:t>
      </w:r>
      <w:r w:rsidR="00B817D9" w:rsidRPr="00B817D9">
        <w:rPr>
          <w:sz w:val="24"/>
        </w:rPr>
        <w:t>pkt </w:t>
      </w:r>
      <w:r w:rsidRPr="00B817D9">
        <w:rPr>
          <w:sz w:val="24"/>
        </w:rPr>
        <w:t>5, przekracza 2,0 %.</w:t>
      </w:r>
    </w:p>
    <w:p w14:paraId="2F872F2A" w14:textId="32CE239B" w:rsidR="00242493" w:rsidRPr="00B817D9" w:rsidRDefault="00242493" w:rsidP="009339D1">
      <w:pPr>
        <w:pStyle w:val="InstructionsText2"/>
        <w:numPr>
          <w:ilvl w:val="0"/>
          <w:numId w:val="0"/>
        </w:numPr>
        <w:ind w:left="709" w:firstLine="11"/>
        <w:rPr>
          <w:rFonts w:eastAsia="Times New Roman"/>
          <w:bCs/>
          <w:sz w:val="24"/>
        </w:rPr>
      </w:pPr>
      <w:r w:rsidRPr="00B817D9">
        <w:rPr>
          <w:sz w:val="24"/>
        </w:rPr>
        <w:t>Stosuje się kryteria wejściowe</w:t>
      </w:r>
      <w:r w:rsidR="00B817D9" w:rsidRPr="00B817D9">
        <w:rPr>
          <w:sz w:val="24"/>
        </w:rPr>
        <w:t xml:space="preserve"> i</w:t>
      </w:r>
      <w:r w:rsidR="00B817D9">
        <w:rPr>
          <w:sz w:val="24"/>
        </w:rPr>
        <w:t> </w:t>
      </w:r>
      <w:r w:rsidR="00B817D9" w:rsidRPr="00B817D9">
        <w:rPr>
          <w:sz w:val="24"/>
        </w:rPr>
        <w:t>wyj</w:t>
      </w:r>
      <w:r w:rsidRPr="00B817D9">
        <w:rPr>
          <w:sz w:val="24"/>
        </w:rPr>
        <w:t>ściowe,</w:t>
      </w:r>
      <w:r w:rsidR="00B817D9" w:rsidRPr="00B817D9">
        <w:rPr>
          <w:sz w:val="24"/>
        </w:rPr>
        <w:t xml:space="preserve"> o</w:t>
      </w:r>
      <w:r w:rsidR="00B817D9">
        <w:rPr>
          <w:sz w:val="24"/>
        </w:rPr>
        <w:t> </w:t>
      </w:r>
      <w:r w:rsidR="00B817D9" w:rsidRPr="00B817D9">
        <w:rPr>
          <w:sz w:val="24"/>
        </w:rPr>
        <w:t>któ</w:t>
      </w:r>
      <w:r w:rsidRPr="00B817D9">
        <w:rPr>
          <w:sz w:val="24"/>
        </w:rPr>
        <w:t>rych mowa</w:t>
      </w:r>
      <w:r w:rsidR="00B817D9" w:rsidRPr="00B817D9">
        <w:rPr>
          <w:sz w:val="24"/>
        </w:rPr>
        <w:t xml:space="preserve"> w</w:t>
      </w:r>
      <w:r w:rsidR="00B817D9">
        <w:rPr>
          <w:sz w:val="24"/>
        </w:rPr>
        <w:t> </w:t>
      </w:r>
      <w:r w:rsidR="00B817D9" w:rsidRPr="00B817D9">
        <w:rPr>
          <w:sz w:val="24"/>
        </w:rPr>
        <w:t>art</w:t>
      </w:r>
      <w:r w:rsidRPr="00B817D9">
        <w:rPr>
          <w:sz w:val="24"/>
        </w:rPr>
        <w:t>.</w:t>
      </w:r>
      <w:r w:rsidR="00B817D9" w:rsidRPr="00B817D9">
        <w:rPr>
          <w:sz w:val="24"/>
        </w:rPr>
        <w:t> </w:t>
      </w:r>
      <w:r w:rsidRPr="00B817D9">
        <w:rPr>
          <w:sz w:val="24"/>
        </w:rPr>
        <w:t>4 niniejszego rozporządzenia,</w:t>
      </w:r>
      <w:r w:rsidR="00B817D9" w:rsidRPr="00B817D9">
        <w:rPr>
          <w:sz w:val="24"/>
        </w:rPr>
        <w:t xml:space="preserve"> z</w:t>
      </w:r>
      <w:r w:rsidR="00B817D9">
        <w:rPr>
          <w:sz w:val="24"/>
        </w:rPr>
        <w:t> </w:t>
      </w:r>
      <w:r w:rsidR="00B817D9" w:rsidRPr="00B817D9">
        <w:rPr>
          <w:sz w:val="24"/>
        </w:rPr>
        <w:t>wyj</w:t>
      </w:r>
      <w:r w:rsidRPr="00B817D9">
        <w:rPr>
          <w:sz w:val="24"/>
        </w:rPr>
        <w:t>ątkiem sytuacji opisanej</w:t>
      </w:r>
      <w:r w:rsidR="00B817D9" w:rsidRPr="00B817D9">
        <w:rPr>
          <w:sz w:val="24"/>
        </w:rPr>
        <w:t xml:space="preserve"> w</w:t>
      </w:r>
      <w:r w:rsidR="00B817D9">
        <w:rPr>
          <w:sz w:val="24"/>
        </w:rPr>
        <w:t> </w:t>
      </w:r>
      <w:r w:rsidR="00B817D9" w:rsidRPr="00B817D9">
        <w:rPr>
          <w:sz w:val="24"/>
        </w:rPr>
        <w:t>lit</w:t>
      </w:r>
      <w:r w:rsidRPr="00B817D9">
        <w:rPr>
          <w:sz w:val="24"/>
        </w:rPr>
        <w:t>.</w:t>
      </w:r>
      <w:r w:rsidR="00B817D9" w:rsidRPr="00B817D9">
        <w:rPr>
          <w:sz w:val="24"/>
        </w:rPr>
        <w:t> </w:t>
      </w:r>
      <w:r w:rsidRPr="00B817D9">
        <w:rPr>
          <w:sz w:val="24"/>
        </w:rPr>
        <w:t>b), gdy instytucje rozpoczynają przekazywanie informacji, począwszy od kolejnego sprawozdawczego dnia odniesienia, jeżeli przekroczyły próg sprawozdawczości</w:t>
      </w:r>
      <w:r w:rsidR="00B817D9" w:rsidRPr="00B817D9">
        <w:rPr>
          <w:sz w:val="24"/>
        </w:rPr>
        <w:t xml:space="preserve"> w</w:t>
      </w:r>
      <w:r w:rsidR="00B817D9">
        <w:rPr>
          <w:sz w:val="24"/>
        </w:rPr>
        <w:t> </w:t>
      </w:r>
      <w:r w:rsidR="00B817D9" w:rsidRPr="00B817D9">
        <w:rPr>
          <w:sz w:val="24"/>
        </w:rPr>
        <w:t>odn</w:t>
      </w:r>
      <w:r w:rsidRPr="00B817D9">
        <w:rPr>
          <w:sz w:val="24"/>
        </w:rPr>
        <w:t>iesieniu do jednego takiego dnia.</w:t>
      </w:r>
    </w:p>
    <w:p w14:paraId="70291EC5" w14:textId="77777777" w:rsidR="00F4754B" w:rsidRPr="00B817D9" w:rsidRDefault="00F4754B" w:rsidP="000B66BC">
      <w:pPr>
        <w:pStyle w:val="BodyText1"/>
        <w:spacing w:after="240" w:line="240" w:lineRule="auto"/>
        <w:rPr>
          <w:rFonts w:ascii="Times New Roman" w:hAnsi="Times New Roman"/>
          <w:sz w:val="24"/>
          <w:szCs w:val="24"/>
        </w:rPr>
      </w:pPr>
    </w:p>
    <w:p w14:paraId="748E5477" w14:textId="6D3487DE" w:rsidR="00F4754B" w:rsidRPr="00B817D9" w:rsidRDefault="00500508"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11.</w:t>
      </w:r>
      <w:r w:rsidRPr="00B817D9">
        <w:tab/>
      </w:r>
      <w:r w:rsidRPr="00B817D9">
        <w:rPr>
          <w:rFonts w:ascii="Times New Roman" w:hAnsi="Times New Roman"/>
          <w:sz w:val="24"/>
        </w:rPr>
        <w:t>Instytucje,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których całkowita kwota referencyjna instrumentów pochodnych zdefiniowana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 </w:t>
      </w:r>
      <w:r w:rsidRPr="00B817D9">
        <w:rPr>
          <w:rFonts w:ascii="Times New Roman" w:hAnsi="Times New Roman"/>
          <w:sz w:val="24"/>
        </w:rPr>
        <w:t>8 przekracza kwotę 10 mld EUR, zgłaszają wartości komórek,</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 </w:t>
      </w:r>
      <w:r w:rsidRPr="00B817D9">
        <w:rPr>
          <w:rFonts w:ascii="Times New Roman" w:hAnsi="Times New Roman"/>
          <w:sz w:val="24"/>
        </w:rPr>
        <w:t>13, nawet jeśli udział instrumentów pochodnych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ich</w:t>
      </w:r>
      <w:r w:rsidRPr="00B817D9">
        <w:rPr>
          <w:rFonts w:ascii="Times New Roman" w:hAnsi="Times New Roman"/>
          <w:sz w:val="24"/>
        </w:rPr>
        <w:t xml:space="preserve"> przypadku nie spełnia warunków opisanych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 </w:t>
      </w:r>
      <w:r w:rsidRPr="00B817D9">
        <w:rPr>
          <w:rFonts w:ascii="Times New Roman" w:hAnsi="Times New Roman"/>
          <w:sz w:val="24"/>
        </w:rPr>
        <w:t>10.</w:t>
      </w:r>
    </w:p>
    <w:p w14:paraId="48A7F7A1" w14:textId="71361C6F" w:rsidR="00242493" w:rsidRPr="00B817D9" w:rsidRDefault="00242493" w:rsidP="000B66BC">
      <w:pPr>
        <w:pStyle w:val="BodyText1"/>
        <w:spacing w:after="240" w:line="240" w:lineRule="auto"/>
        <w:ind w:left="720" w:hanging="360"/>
        <w:rPr>
          <w:rFonts w:ascii="Times New Roman" w:hAnsi="Times New Roman"/>
          <w:sz w:val="24"/>
          <w:szCs w:val="24"/>
        </w:rPr>
      </w:pPr>
      <w:r w:rsidRPr="00B817D9">
        <w:tab/>
      </w:r>
      <w:r w:rsidRPr="00B817D9">
        <w:rPr>
          <w:rFonts w:ascii="Times New Roman" w:hAnsi="Times New Roman"/>
          <w:sz w:val="24"/>
        </w:rPr>
        <w:t>Kryteria wejściowe,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 niniejszego rozporządzenia, nie mają zastosowania. Instytucje rozpoczynają przekazywanie informacji, począwszy od kolejnego sprawozdawczego dnia odniesienia, jeżeli przekroczyły próg sprawozdawczości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jednego takiego dnia.</w:t>
      </w:r>
    </w:p>
    <w:p w14:paraId="49F753AA" w14:textId="479972AE" w:rsidR="00F4754B" w:rsidRPr="00B817D9" w:rsidRDefault="00500508"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12.</w:t>
      </w:r>
      <w:r w:rsidRPr="00B817D9">
        <w:tab/>
      </w:r>
      <w:r w:rsidRPr="00B817D9">
        <w:rPr>
          <w:rFonts w:ascii="Times New Roman" w:hAnsi="Times New Roman"/>
          <w:sz w:val="24"/>
        </w:rPr>
        <w:t>Instytucje mają obowiązek zgłosić wartość komórek,</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 </w:t>
      </w:r>
      <w:r w:rsidRPr="00B817D9">
        <w:rPr>
          <w:rFonts w:ascii="Times New Roman" w:hAnsi="Times New Roman"/>
          <w:sz w:val="24"/>
        </w:rPr>
        <w:t>14, jeśli spełniony zostanie którykolwiek</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pon</w:t>
      </w:r>
      <w:r w:rsidRPr="00B817D9">
        <w:rPr>
          <w:rFonts w:ascii="Times New Roman" w:hAnsi="Times New Roman"/>
          <w:sz w:val="24"/>
        </w:rPr>
        <w:t>iższych warunków:</w:t>
      </w:r>
    </w:p>
    <w:p w14:paraId="3F12E5B0" w14:textId="59B95DD7" w:rsidR="00F4754B" w:rsidRPr="00B817D9" w:rsidRDefault="007A001B" w:rsidP="009339D1">
      <w:pPr>
        <w:pStyle w:val="InstructionsText2"/>
        <w:numPr>
          <w:ilvl w:val="0"/>
          <w:numId w:val="40"/>
        </w:numPr>
        <w:rPr>
          <w:rFonts w:eastAsia="Times New Roman"/>
          <w:bCs/>
          <w:sz w:val="24"/>
        </w:rPr>
      </w:pPr>
      <w:r w:rsidRPr="00B817D9">
        <w:rPr>
          <w:sz w:val="24"/>
        </w:rPr>
        <w:t>wolumen kredytowych instrumentów pochodnych,</w:t>
      </w:r>
      <w:r w:rsidR="00B817D9" w:rsidRPr="00B817D9">
        <w:rPr>
          <w:sz w:val="24"/>
        </w:rPr>
        <w:t xml:space="preserve"> o</w:t>
      </w:r>
      <w:r w:rsidR="00B817D9">
        <w:rPr>
          <w:sz w:val="24"/>
        </w:rPr>
        <w:t> </w:t>
      </w:r>
      <w:r w:rsidR="00B817D9" w:rsidRPr="00B817D9">
        <w:rPr>
          <w:sz w:val="24"/>
        </w:rPr>
        <w:t>któ</w:t>
      </w:r>
      <w:r w:rsidRPr="00B817D9">
        <w:rPr>
          <w:sz w:val="24"/>
        </w:rPr>
        <w:t>rym mowa</w:t>
      </w:r>
      <w:r w:rsidR="00B817D9" w:rsidRPr="00B817D9">
        <w:rPr>
          <w:sz w:val="24"/>
        </w:rPr>
        <w:t xml:space="preserve"> w</w:t>
      </w:r>
      <w:r w:rsidR="00B817D9">
        <w:rPr>
          <w:sz w:val="24"/>
        </w:rPr>
        <w:t> </w:t>
      </w:r>
      <w:r w:rsidR="00B817D9" w:rsidRPr="00B817D9">
        <w:rPr>
          <w:sz w:val="24"/>
        </w:rPr>
        <w:t>pkt </w:t>
      </w:r>
      <w:r w:rsidRPr="00B817D9">
        <w:rPr>
          <w:sz w:val="24"/>
        </w:rPr>
        <w:t>9, przekracza 300 mln EUR;</w:t>
      </w:r>
    </w:p>
    <w:p w14:paraId="53026947" w14:textId="6CEE41A1" w:rsidR="00675587" w:rsidRPr="00B817D9" w:rsidRDefault="007A001B" w:rsidP="009339D1">
      <w:pPr>
        <w:pStyle w:val="InstructionsText2"/>
        <w:numPr>
          <w:ilvl w:val="0"/>
          <w:numId w:val="40"/>
        </w:numPr>
        <w:rPr>
          <w:rFonts w:eastAsia="Times New Roman"/>
          <w:bCs/>
          <w:sz w:val="24"/>
        </w:rPr>
      </w:pPr>
      <w:r w:rsidRPr="00B817D9">
        <w:rPr>
          <w:sz w:val="24"/>
        </w:rPr>
        <w:t>wolumen kredytowych instrumentów pochodnych,</w:t>
      </w:r>
      <w:r w:rsidR="00B817D9" w:rsidRPr="00B817D9">
        <w:rPr>
          <w:sz w:val="24"/>
        </w:rPr>
        <w:t xml:space="preserve"> o</w:t>
      </w:r>
      <w:r w:rsidR="00B817D9">
        <w:rPr>
          <w:sz w:val="24"/>
        </w:rPr>
        <w:t> </w:t>
      </w:r>
      <w:r w:rsidR="00B817D9" w:rsidRPr="00B817D9">
        <w:rPr>
          <w:sz w:val="24"/>
        </w:rPr>
        <w:t>któ</w:t>
      </w:r>
      <w:r w:rsidRPr="00B817D9">
        <w:rPr>
          <w:sz w:val="24"/>
        </w:rPr>
        <w:t>rym mowa</w:t>
      </w:r>
      <w:r w:rsidR="00B817D9" w:rsidRPr="00B817D9">
        <w:rPr>
          <w:sz w:val="24"/>
        </w:rPr>
        <w:t xml:space="preserve"> w</w:t>
      </w:r>
      <w:r w:rsidR="00B817D9">
        <w:rPr>
          <w:sz w:val="24"/>
        </w:rPr>
        <w:t> </w:t>
      </w:r>
      <w:r w:rsidR="00B817D9" w:rsidRPr="00B817D9">
        <w:rPr>
          <w:sz w:val="24"/>
        </w:rPr>
        <w:t>pkt </w:t>
      </w:r>
      <w:r w:rsidRPr="00B817D9">
        <w:rPr>
          <w:sz w:val="24"/>
        </w:rPr>
        <w:t>9, przekracza 500 mln EUR.</w:t>
      </w:r>
    </w:p>
    <w:p w14:paraId="3B88084F" w14:textId="04989951" w:rsidR="00F4754B" w:rsidRPr="00B817D9" w:rsidRDefault="00242493" w:rsidP="000B66BC">
      <w:pPr>
        <w:pStyle w:val="InstructionsText2"/>
        <w:numPr>
          <w:ilvl w:val="0"/>
          <w:numId w:val="0"/>
        </w:numPr>
        <w:ind w:left="709" w:firstLine="11"/>
        <w:rPr>
          <w:sz w:val="24"/>
        </w:rPr>
      </w:pPr>
      <w:r w:rsidRPr="00B817D9">
        <w:rPr>
          <w:sz w:val="24"/>
        </w:rPr>
        <w:t>Stosuje się kryteria wejściowe</w:t>
      </w:r>
      <w:r w:rsidR="00B817D9" w:rsidRPr="00B817D9">
        <w:rPr>
          <w:sz w:val="24"/>
        </w:rPr>
        <w:t xml:space="preserve"> i</w:t>
      </w:r>
      <w:r w:rsidR="00B817D9">
        <w:rPr>
          <w:sz w:val="24"/>
        </w:rPr>
        <w:t> </w:t>
      </w:r>
      <w:r w:rsidR="00B817D9" w:rsidRPr="00B817D9">
        <w:rPr>
          <w:sz w:val="24"/>
        </w:rPr>
        <w:t>wyj</w:t>
      </w:r>
      <w:r w:rsidRPr="00B817D9">
        <w:rPr>
          <w:sz w:val="24"/>
        </w:rPr>
        <w:t>ściowe,</w:t>
      </w:r>
      <w:r w:rsidR="00B817D9" w:rsidRPr="00B817D9">
        <w:rPr>
          <w:sz w:val="24"/>
        </w:rPr>
        <w:t xml:space="preserve"> o</w:t>
      </w:r>
      <w:r w:rsidR="00B817D9">
        <w:rPr>
          <w:sz w:val="24"/>
        </w:rPr>
        <w:t> </w:t>
      </w:r>
      <w:r w:rsidR="00B817D9" w:rsidRPr="00B817D9">
        <w:rPr>
          <w:sz w:val="24"/>
        </w:rPr>
        <w:t>któ</w:t>
      </w:r>
      <w:r w:rsidRPr="00B817D9">
        <w:rPr>
          <w:sz w:val="24"/>
        </w:rPr>
        <w:t>rych mowa</w:t>
      </w:r>
      <w:r w:rsidR="00B817D9" w:rsidRPr="00B817D9">
        <w:rPr>
          <w:sz w:val="24"/>
        </w:rPr>
        <w:t xml:space="preserve"> w</w:t>
      </w:r>
      <w:r w:rsidR="00B817D9">
        <w:rPr>
          <w:sz w:val="24"/>
        </w:rPr>
        <w:t> </w:t>
      </w:r>
      <w:r w:rsidR="00B817D9" w:rsidRPr="00B817D9">
        <w:rPr>
          <w:sz w:val="24"/>
        </w:rPr>
        <w:t>art</w:t>
      </w:r>
      <w:r w:rsidRPr="00B817D9">
        <w:rPr>
          <w:sz w:val="24"/>
        </w:rPr>
        <w:t>.</w:t>
      </w:r>
      <w:r w:rsidR="00B817D9" w:rsidRPr="00B817D9">
        <w:rPr>
          <w:sz w:val="24"/>
        </w:rPr>
        <w:t> </w:t>
      </w:r>
      <w:r w:rsidRPr="00B817D9">
        <w:rPr>
          <w:sz w:val="24"/>
        </w:rPr>
        <w:t>4 niniejszego rozporządzenia,</w:t>
      </w:r>
      <w:r w:rsidR="00B817D9" w:rsidRPr="00B817D9">
        <w:rPr>
          <w:sz w:val="24"/>
        </w:rPr>
        <w:t xml:space="preserve"> z</w:t>
      </w:r>
      <w:r w:rsidR="00B817D9">
        <w:rPr>
          <w:sz w:val="24"/>
        </w:rPr>
        <w:t> </w:t>
      </w:r>
      <w:r w:rsidR="00B817D9" w:rsidRPr="00B817D9">
        <w:rPr>
          <w:sz w:val="24"/>
        </w:rPr>
        <w:t>wyj</w:t>
      </w:r>
      <w:r w:rsidRPr="00B817D9">
        <w:rPr>
          <w:sz w:val="24"/>
        </w:rPr>
        <w:t>ątkiem sytuacji opisanej</w:t>
      </w:r>
      <w:r w:rsidR="00B817D9" w:rsidRPr="00B817D9">
        <w:rPr>
          <w:sz w:val="24"/>
        </w:rPr>
        <w:t xml:space="preserve"> w</w:t>
      </w:r>
      <w:r w:rsidR="00B817D9">
        <w:rPr>
          <w:sz w:val="24"/>
        </w:rPr>
        <w:t> </w:t>
      </w:r>
      <w:r w:rsidR="00B817D9" w:rsidRPr="00B817D9">
        <w:rPr>
          <w:sz w:val="24"/>
        </w:rPr>
        <w:t>lit</w:t>
      </w:r>
      <w:r w:rsidRPr="00B817D9">
        <w:rPr>
          <w:sz w:val="24"/>
        </w:rPr>
        <w:t>.</w:t>
      </w:r>
      <w:r w:rsidR="00B817D9" w:rsidRPr="00B817D9">
        <w:rPr>
          <w:sz w:val="24"/>
        </w:rPr>
        <w:t> </w:t>
      </w:r>
      <w:r w:rsidRPr="00B817D9">
        <w:rPr>
          <w:sz w:val="24"/>
        </w:rPr>
        <w:t>b), gdy instytucje rozpoczynają sprawozdawczość, począwszy od kolejnego sprawozdawczego dnia odniesienia, jeżeli przekroczyły próg sprawozdawczości</w:t>
      </w:r>
      <w:r w:rsidR="00B817D9" w:rsidRPr="00B817D9">
        <w:rPr>
          <w:sz w:val="24"/>
        </w:rPr>
        <w:t xml:space="preserve"> w</w:t>
      </w:r>
      <w:r w:rsidR="00B817D9">
        <w:rPr>
          <w:sz w:val="24"/>
        </w:rPr>
        <w:t> </w:t>
      </w:r>
      <w:r w:rsidR="00B817D9" w:rsidRPr="00B817D9">
        <w:rPr>
          <w:sz w:val="24"/>
        </w:rPr>
        <w:t>odn</w:t>
      </w:r>
      <w:r w:rsidRPr="00B817D9">
        <w:rPr>
          <w:sz w:val="24"/>
        </w:rPr>
        <w:t>iesieniu do jednego takiego dnia.</w:t>
      </w:r>
    </w:p>
    <w:p w14:paraId="6CB3856E" w14:textId="181941D6" w:rsidR="00F4754B" w:rsidRPr="00B817D9" w:rsidRDefault="00500508"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13.</w:t>
      </w:r>
      <w:r w:rsidRPr="00B817D9">
        <w:tab/>
      </w:r>
      <w:r w:rsidRPr="00B817D9">
        <w:rPr>
          <w:rFonts w:ascii="Times New Roman" w:hAnsi="Times New Roman"/>
          <w:sz w:val="24"/>
        </w:rPr>
        <w:t>Instytucje mają obowiązek,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pkt </w:t>
      </w:r>
      <w:r w:rsidRPr="00B817D9">
        <w:rPr>
          <w:rFonts w:ascii="Times New Roman" w:hAnsi="Times New Roman"/>
          <w:sz w:val="24"/>
        </w:rPr>
        <w:t>10</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1</w:t>
      </w:r>
      <w:r w:rsidRPr="00B817D9">
        <w:rPr>
          <w:rFonts w:ascii="Times New Roman" w:hAnsi="Times New Roman"/>
          <w:sz w:val="24"/>
        </w:rPr>
        <w:t>1, zgłosić wartość następujących komórek: {LR1;0010;0010}, {LR1;0010;0020}, {LR1;0020;0010}, {LR1;0020;0020}, {LR1;0030;0070}, {LR1;0040;0070}, {LR1;0050;0010}, {LR1;0050;0020}, {LR1;0060;0010}, {LR1;0060;0020} i {LR1;0060;0070}.</w:t>
      </w:r>
    </w:p>
    <w:p w14:paraId="6F47B92E" w14:textId="27712B37" w:rsidR="00F4754B" w:rsidRPr="00B817D9" w:rsidRDefault="00500508"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14.</w:t>
      </w:r>
      <w:r w:rsidRPr="00B817D9">
        <w:tab/>
      </w:r>
      <w:r w:rsidRPr="00B817D9">
        <w:rPr>
          <w:rFonts w:ascii="Times New Roman" w:hAnsi="Times New Roman"/>
          <w:sz w:val="24"/>
        </w:rPr>
        <w:t>Instytucje mają obowiązek,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pkt </w:t>
      </w:r>
      <w:r w:rsidRPr="00B817D9">
        <w:rPr>
          <w:rFonts w:ascii="Times New Roman" w:hAnsi="Times New Roman"/>
          <w:sz w:val="24"/>
        </w:rPr>
        <w:t>12, zgłosić wartość następujących komórek: {LR1;0020;0075}, {LR1;0050;0075} i {LR1;0050;0085}.</w:t>
      </w:r>
    </w:p>
    <w:p w14:paraId="00E6EF91" w14:textId="4226172D" w:rsidR="00217D1F" w:rsidRPr="00B817D9"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188604484"/>
      <w:bookmarkStart w:id="51" w:name="_Toc322687879"/>
      <w:bookmarkStart w:id="52" w:name="_Toc315961853"/>
      <w:bookmarkEnd w:id="46"/>
      <w:r w:rsidRPr="00B817D9">
        <w:rPr>
          <w:rFonts w:ascii="Times New Roman" w:hAnsi="Times New Roman"/>
          <w:b/>
          <w:sz w:val="24"/>
        </w:rPr>
        <w:t>3.</w:t>
      </w:r>
      <w:r w:rsidRPr="00B817D9">
        <w:tab/>
      </w:r>
      <w:r w:rsidRPr="00B817D9">
        <w:rPr>
          <w:rFonts w:ascii="Times New Roman" w:hAnsi="Times New Roman"/>
          <w:b/>
          <w:sz w:val="24"/>
        </w:rPr>
        <w:t>C 47.00 – Obliczanie wskaźnika dźwigni</w:t>
      </w:r>
      <w:bookmarkEnd w:id="47"/>
      <w:bookmarkEnd w:id="48"/>
      <w:r w:rsidRPr="00B817D9">
        <w:rPr>
          <w:rFonts w:ascii="Times New Roman" w:hAnsi="Times New Roman"/>
          <w:b/>
          <w:sz w:val="24"/>
        </w:rPr>
        <w:t xml:space="preserve"> (LRCalc)</w:t>
      </w:r>
      <w:bookmarkEnd w:id="49"/>
      <w:bookmarkEnd w:id="50"/>
    </w:p>
    <w:p w14:paraId="5579B71F" w14:textId="43907484" w:rsidR="00AE2798" w:rsidRPr="00B817D9" w:rsidRDefault="00500508"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15.</w:t>
      </w:r>
      <w:r w:rsidRPr="00B817D9">
        <w:tab/>
      </w:r>
      <w:r w:rsidRPr="00B817D9">
        <w:rPr>
          <w:rFonts w:ascii="Times New Roman" w:hAnsi="Times New Roman"/>
          <w:sz w:val="24"/>
        </w:rPr>
        <w:t>W niniejszym wzorze gromadzone są dane potrzebne do obliczenia wskaźnika dźwigni określonego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ści siódmej rozporządzenia (UE) nr</w:t>
      </w:r>
      <w:r w:rsidR="00B817D9" w:rsidRPr="00B817D9">
        <w:rPr>
          <w:rFonts w:ascii="Times New Roman" w:hAnsi="Times New Roman"/>
          <w:sz w:val="24"/>
        </w:rPr>
        <w:t> </w:t>
      </w:r>
      <w:r w:rsidRPr="00B817D9">
        <w:rPr>
          <w:rFonts w:ascii="Times New Roman" w:hAnsi="Times New Roman"/>
          <w:sz w:val="24"/>
        </w:rPr>
        <w:t xml:space="preserve">575/2013. </w:t>
      </w:r>
    </w:p>
    <w:p w14:paraId="0E7DE041" w14:textId="772F255C" w:rsidR="00AE2798" w:rsidRPr="00B817D9" w:rsidRDefault="00500508"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16.</w:t>
      </w:r>
      <w:r w:rsidRPr="00B817D9">
        <w:tab/>
      </w:r>
      <w:r w:rsidRPr="00B817D9">
        <w:rPr>
          <w:rFonts w:ascii="Times New Roman" w:hAnsi="Times New Roman"/>
          <w:sz w:val="24"/>
        </w:rPr>
        <w:t>Instytucje przekazują sprawozdania na temat wskaźnika dźwigni co kwartał</w:t>
      </w:r>
      <w:r w:rsidR="00B817D9" w:rsidRPr="00B817D9">
        <w:rPr>
          <w:rFonts w:ascii="Times New Roman" w:hAnsi="Times New Roman"/>
          <w:sz w:val="24"/>
        </w:rPr>
        <w:t>. W</w:t>
      </w:r>
      <w:r w:rsidR="00B817D9">
        <w:rPr>
          <w:rFonts w:ascii="Times New Roman" w:hAnsi="Times New Roman"/>
          <w:sz w:val="24"/>
        </w:rPr>
        <w:t> </w:t>
      </w:r>
      <w:r w:rsidR="00B817D9" w:rsidRPr="00B817D9">
        <w:rPr>
          <w:rFonts w:ascii="Times New Roman" w:hAnsi="Times New Roman"/>
          <w:sz w:val="24"/>
        </w:rPr>
        <w:t>każ</w:t>
      </w:r>
      <w:r w:rsidRPr="00B817D9">
        <w:rPr>
          <w:rFonts w:ascii="Times New Roman" w:hAnsi="Times New Roman"/>
          <w:sz w:val="24"/>
        </w:rPr>
        <w:t>dym kwartale wartość „na sprawozdawczy dzień odniesienia” oznacza wartość na ostatni kalendarzowy dzień trzeciego miesiąca danego kwartału.</w:t>
      </w:r>
    </w:p>
    <w:p w14:paraId="36716E2F" w14:textId="59EADF94" w:rsidR="00941862" w:rsidRPr="00B817D9" w:rsidRDefault="008B4710"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17.</w:t>
      </w:r>
      <w:r w:rsidRPr="00B817D9">
        <w:tab/>
      </w:r>
      <w:r w:rsidRPr="00B817D9">
        <w:rPr>
          <w:rFonts w:ascii="Times New Roman" w:hAnsi="Times New Roman"/>
          <w:sz w:val="24"/>
        </w:rPr>
        <w:t>Instytucje zgłaszają pozycje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sek</w:t>
      </w:r>
      <w:r w:rsidRPr="00B817D9">
        <w:rPr>
          <w:rFonts w:ascii="Times New Roman" w:hAnsi="Times New Roman"/>
          <w:sz w:val="24"/>
        </w:rPr>
        <w:t>cji wartości ekspozycji ze znakiem dodatnim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kon</w:t>
      </w:r>
      <w:r w:rsidRPr="00B817D9">
        <w:rPr>
          <w:rFonts w:ascii="Times New Roman" w:hAnsi="Times New Roman"/>
          <w:sz w:val="24"/>
        </w:rPr>
        <w:t>wencją znaku określoną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nin</w:t>
      </w:r>
      <w:r w:rsidRPr="00B817D9">
        <w:rPr>
          <w:rFonts w:ascii="Times New Roman" w:hAnsi="Times New Roman"/>
          <w:sz w:val="24"/>
        </w:rPr>
        <w:t>iejszym załączniku część I pkt</w:t>
      </w:r>
      <w:r w:rsidR="00B817D9" w:rsidRPr="00B817D9">
        <w:rPr>
          <w:rFonts w:ascii="Times New Roman" w:hAnsi="Times New Roman"/>
          <w:sz w:val="24"/>
        </w:rPr>
        <w:t> </w:t>
      </w:r>
      <w:r w:rsidRPr="00B817D9">
        <w:rPr>
          <w:rFonts w:ascii="Times New Roman" w:hAnsi="Times New Roman"/>
          <w:sz w:val="24"/>
        </w:rPr>
        <w:t>9 (z wyjątkiem {LRCalc;0270;0010} i {LRCalc;0280;0010}), tak jakby pozycje ze znakiem ujemnym (np. wyłączenia/odliczenia)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kon</w:t>
      </w:r>
      <w:r w:rsidRPr="00B817D9">
        <w:rPr>
          <w:rFonts w:ascii="Times New Roman" w:hAnsi="Times New Roman"/>
          <w:sz w:val="24"/>
        </w:rPr>
        <w:t>wencją znaku określoną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nin</w:t>
      </w:r>
      <w:r w:rsidRPr="00B817D9">
        <w:rPr>
          <w:rFonts w:ascii="Times New Roman" w:hAnsi="Times New Roman"/>
          <w:sz w:val="24"/>
        </w:rPr>
        <w:t>iejszym załączniku część I pkt</w:t>
      </w:r>
      <w:r w:rsidR="00B817D9" w:rsidRPr="00B817D9">
        <w:rPr>
          <w:rFonts w:ascii="Times New Roman" w:hAnsi="Times New Roman"/>
          <w:sz w:val="24"/>
        </w:rPr>
        <w:t> </w:t>
      </w:r>
      <w:r w:rsidRPr="00B817D9">
        <w:rPr>
          <w:rFonts w:ascii="Times New Roman" w:hAnsi="Times New Roman"/>
          <w:sz w:val="24"/>
        </w:rPr>
        <w:t>9 nie miały zastosowania.</w:t>
      </w:r>
    </w:p>
    <w:p w14:paraId="725F2D82" w14:textId="2BEB62D8" w:rsidR="00720503" w:rsidRPr="00B817D9" w:rsidRDefault="006F588E" w:rsidP="009339D1">
      <w:pPr>
        <w:pStyle w:val="InstructionsText2"/>
        <w:numPr>
          <w:ilvl w:val="0"/>
          <w:numId w:val="0"/>
        </w:numPr>
        <w:ind w:left="720" w:hanging="360"/>
        <w:rPr>
          <w:sz w:val="24"/>
        </w:rPr>
      </w:pPr>
      <w:r w:rsidRPr="00B817D9">
        <w:rPr>
          <w:sz w:val="24"/>
        </w:rPr>
        <w:t>18.</w:t>
      </w:r>
      <w:r w:rsidRPr="00B817D9">
        <w:tab/>
      </w:r>
      <w:r w:rsidRPr="00B817D9">
        <w:rPr>
          <w:sz w:val="24"/>
        </w:rPr>
        <w:t xml:space="preserve">Każdą kwotę, która zwiększa fundusze własne lub wartość ekspozycji wskaźnika dźwigni, zgłasza się jako wartość dodatnią. Każdą kwotę, która zmniejsza sumę </w:t>
      </w:r>
      <w:r w:rsidRPr="00B817D9">
        <w:rPr>
          <w:sz w:val="24"/>
        </w:rPr>
        <w:lastRenderedPageBreak/>
        <w:t>funduszy własnych lub wartość ekspozycji wskaźnika dźwigni, zgłasza się natomiast jako wartość ujemną. Jeżeli przed oznaczeniem pozycji znajduje się znak ujemny (-), dla tej pozycji nie oczekuje się zgłoszenia wartości dodatniej.</w:t>
      </w:r>
    </w:p>
    <w:p w14:paraId="69E62B50" w14:textId="14FC2BEC" w:rsidR="00EC3422" w:rsidRPr="00B817D9" w:rsidRDefault="006A4991" w:rsidP="009339D1">
      <w:pPr>
        <w:pStyle w:val="InstructionsText2"/>
        <w:numPr>
          <w:ilvl w:val="0"/>
          <w:numId w:val="0"/>
        </w:numPr>
        <w:ind w:left="720" w:hanging="360"/>
        <w:rPr>
          <w:sz w:val="24"/>
        </w:rPr>
      </w:pPr>
      <w:r w:rsidRPr="00B817D9">
        <w:rPr>
          <w:sz w:val="24"/>
        </w:rPr>
        <w:t>19</w:t>
      </w:r>
      <w:r w:rsidR="00B817D9" w:rsidRPr="00B817D9">
        <w:rPr>
          <w:sz w:val="24"/>
        </w:rPr>
        <w:t>. W</w:t>
      </w:r>
      <w:r w:rsidR="00B817D9">
        <w:rPr>
          <w:sz w:val="24"/>
        </w:rPr>
        <w:t> </w:t>
      </w:r>
      <w:r w:rsidR="00B817D9" w:rsidRPr="00B817D9">
        <w:rPr>
          <w:sz w:val="24"/>
        </w:rPr>
        <w:t>prz</w:t>
      </w:r>
      <w:r w:rsidRPr="00B817D9">
        <w:rPr>
          <w:sz w:val="24"/>
        </w:rPr>
        <w:t>ypadku gdyby kwota mogła kwalifikować się do odliczenia</w:t>
      </w:r>
      <w:r w:rsidR="00B817D9" w:rsidRPr="00B817D9">
        <w:rPr>
          <w:sz w:val="24"/>
        </w:rPr>
        <w:t xml:space="preserve"> w</w:t>
      </w:r>
      <w:r w:rsidR="00B817D9">
        <w:rPr>
          <w:sz w:val="24"/>
        </w:rPr>
        <w:t> </w:t>
      </w:r>
      <w:r w:rsidR="00B817D9" w:rsidRPr="00B817D9">
        <w:rPr>
          <w:sz w:val="24"/>
        </w:rPr>
        <w:t>opa</w:t>
      </w:r>
      <w:r w:rsidRPr="00B817D9">
        <w:rPr>
          <w:sz w:val="24"/>
        </w:rPr>
        <w:t>rciu</w:t>
      </w:r>
      <w:r w:rsidR="00B817D9" w:rsidRPr="00B817D9">
        <w:rPr>
          <w:sz w:val="24"/>
        </w:rPr>
        <w:t xml:space="preserve"> o</w:t>
      </w:r>
      <w:r w:rsidR="00B817D9">
        <w:rPr>
          <w:sz w:val="24"/>
        </w:rPr>
        <w:t> </w:t>
      </w:r>
      <w:r w:rsidR="00B817D9" w:rsidRPr="00B817D9">
        <w:rPr>
          <w:sz w:val="24"/>
        </w:rPr>
        <w:t>wie</w:t>
      </w:r>
      <w:r w:rsidRPr="00B817D9">
        <w:rPr>
          <w:sz w:val="24"/>
        </w:rPr>
        <w:t>le podstaw, kwotę tę odejmuje się od wartości ekspozycji wyłącznie</w:t>
      </w:r>
      <w:r w:rsidR="00B817D9" w:rsidRPr="00B817D9">
        <w:rPr>
          <w:sz w:val="24"/>
        </w:rPr>
        <w:t xml:space="preserve"> w</w:t>
      </w:r>
      <w:r w:rsidR="00B817D9">
        <w:rPr>
          <w:sz w:val="24"/>
        </w:rPr>
        <w:t> </w:t>
      </w:r>
      <w:r w:rsidR="00B817D9" w:rsidRPr="00B817D9">
        <w:rPr>
          <w:sz w:val="24"/>
        </w:rPr>
        <w:t>jed</w:t>
      </w:r>
      <w:r w:rsidRPr="00B817D9">
        <w:rPr>
          <w:sz w:val="24"/>
        </w:rPr>
        <w:t>nym</w:t>
      </w:r>
      <w:r w:rsidR="00B817D9" w:rsidRPr="00B817D9">
        <w:rPr>
          <w:sz w:val="24"/>
        </w:rPr>
        <w:t xml:space="preserve"> z</w:t>
      </w:r>
      <w:r w:rsidR="00B817D9">
        <w:rPr>
          <w:sz w:val="24"/>
        </w:rPr>
        <w:t> </w:t>
      </w:r>
      <w:r w:rsidR="00B817D9" w:rsidRPr="00B817D9">
        <w:rPr>
          <w:sz w:val="24"/>
        </w:rPr>
        <w:t>wie</w:t>
      </w:r>
      <w:r w:rsidRPr="00B817D9">
        <w:rPr>
          <w:sz w:val="24"/>
        </w:rPr>
        <w:t>rszy wzoru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B817D9" w14:paraId="5579CB50" w14:textId="77777777" w:rsidTr="008979D2">
        <w:trPr>
          <w:trHeight w:val="304"/>
        </w:trPr>
        <w:tc>
          <w:tcPr>
            <w:tcW w:w="1555" w:type="dxa"/>
            <w:gridSpan w:val="2"/>
            <w:shd w:val="clear" w:color="auto" w:fill="D9D9D9"/>
          </w:tcPr>
          <w:p w14:paraId="0C50BBA6" w14:textId="77777777" w:rsidR="00AE2798" w:rsidRPr="00B817D9"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13AF48EF" w:rsidR="00AE2798" w:rsidRPr="00B817D9" w:rsidRDefault="00AE2798" w:rsidP="000B66BC">
            <w:pPr>
              <w:pStyle w:val="BodyText1"/>
              <w:spacing w:after="240"/>
              <w:rPr>
                <w:rFonts w:ascii="Times New Roman" w:hAnsi="Times New Roman"/>
                <w:bCs/>
                <w:sz w:val="24"/>
                <w:szCs w:val="24"/>
                <w:u w:val="single"/>
              </w:rPr>
            </w:pPr>
            <w:r w:rsidRPr="00B817D9">
              <w:rPr>
                <w:rFonts w:ascii="Times New Roman" w:hAnsi="Times New Roman"/>
                <w:sz w:val="24"/>
              </w:rPr>
              <w:t>Odniesienia prawne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ins</w:t>
            </w:r>
            <w:r w:rsidRPr="00B817D9">
              <w:rPr>
                <w:rFonts w:ascii="Times New Roman" w:hAnsi="Times New Roman"/>
                <w:sz w:val="24"/>
              </w:rPr>
              <w:t>trukcje</w:t>
            </w:r>
          </w:p>
        </w:tc>
      </w:tr>
      <w:tr w:rsidR="00AE2798" w:rsidRPr="00B817D9" w14:paraId="699B1E0D" w14:textId="77777777" w:rsidTr="008979D2">
        <w:trPr>
          <w:trHeight w:val="304"/>
        </w:trPr>
        <w:tc>
          <w:tcPr>
            <w:tcW w:w="1555" w:type="dxa"/>
            <w:gridSpan w:val="2"/>
            <w:shd w:val="clear" w:color="auto" w:fill="D9D9D9" w:themeFill="background1" w:themeFillShade="D9"/>
          </w:tcPr>
          <w:p w14:paraId="3C798DCF" w14:textId="7C3B809F" w:rsidR="00AE2798" w:rsidRPr="00B817D9" w:rsidRDefault="00AE2798" w:rsidP="000B66BC">
            <w:pPr>
              <w:pStyle w:val="BodyText1"/>
              <w:spacing w:after="240"/>
              <w:rPr>
                <w:rFonts w:ascii="Times New Roman" w:hAnsi="Times New Roman"/>
                <w:b/>
                <w:sz w:val="24"/>
                <w:szCs w:val="24"/>
              </w:rPr>
            </w:pPr>
            <w:r w:rsidRPr="00B817D9">
              <w:rPr>
                <w:rFonts w:ascii="Times New Roman" w:hAnsi="Times New Roman"/>
                <w:b/>
                <w:sz w:val="24"/>
              </w:rPr>
              <w:t>Wiersz</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kol</w:t>
            </w:r>
            <w:r w:rsidRPr="00B817D9">
              <w:rPr>
                <w:rFonts w:ascii="Times New Roman" w:hAnsi="Times New Roman"/>
                <w:b/>
                <w:sz w:val="24"/>
              </w:rPr>
              <w:t>umna</w:t>
            </w:r>
          </w:p>
        </w:tc>
        <w:tc>
          <w:tcPr>
            <w:tcW w:w="7566" w:type="dxa"/>
            <w:shd w:val="clear" w:color="auto" w:fill="D9D9D9" w:themeFill="background1" w:themeFillShade="D9"/>
          </w:tcPr>
          <w:p w14:paraId="1E421E8F" w14:textId="77777777" w:rsidR="00AE2798" w:rsidRPr="00B817D9" w:rsidRDefault="00AE2798" w:rsidP="000B66BC">
            <w:pPr>
              <w:pStyle w:val="BodyText1"/>
              <w:spacing w:after="240"/>
              <w:rPr>
                <w:rFonts w:ascii="Times New Roman" w:hAnsi="Times New Roman"/>
                <w:b/>
                <w:bCs/>
                <w:sz w:val="24"/>
                <w:szCs w:val="24"/>
              </w:rPr>
            </w:pPr>
            <w:r w:rsidRPr="00B817D9">
              <w:rPr>
                <w:rFonts w:ascii="Times New Roman" w:hAnsi="Times New Roman"/>
                <w:b/>
                <w:sz w:val="24"/>
              </w:rPr>
              <w:t>Wartości ekspozycji</w:t>
            </w:r>
          </w:p>
        </w:tc>
      </w:tr>
      <w:tr w:rsidR="00AE2798" w:rsidRPr="00B817D9" w14:paraId="2DE0B580" w14:textId="77777777" w:rsidTr="008979D2">
        <w:trPr>
          <w:trHeight w:val="304"/>
        </w:trPr>
        <w:tc>
          <w:tcPr>
            <w:tcW w:w="1555" w:type="dxa"/>
            <w:gridSpan w:val="2"/>
            <w:shd w:val="clear" w:color="auto" w:fill="auto"/>
          </w:tcPr>
          <w:p w14:paraId="7EDCCB36" w14:textId="20E5281F" w:rsidR="00AE2798" w:rsidRPr="00B817D9" w:rsidRDefault="00AE2798" w:rsidP="000B66BC">
            <w:pPr>
              <w:pStyle w:val="BodyText1"/>
              <w:spacing w:after="240"/>
              <w:rPr>
                <w:rFonts w:ascii="Times New Roman" w:hAnsi="Times New Roman"/>
                <w:bCs/>
                <w:sz w:val="24"/>
                <w:szCs w:val="24"/>
              </w:rPr>
            </w:pPr>
            <w:r w:rsidRPr="00B817D9">
              <w:rPr>
                <w:rFonts w:ascii="Times New Roman" w:hAnsi="Times New Roman"/>
                <w:sz w:val="24"/>
              </w:rPr>
              <w:t>{0010;0010}</w:t>
            </w:r>
          </w:p>
        </w:tc>
        <w:tc>
          <w:tcPr>
            <w:tcW w:w="7566" w:type="dxa"/>
            <w:shd w:val="clear" w:color="auto" w:fill="auto"/>
          </w:tcPr>
          <w:p w14:paraId="776CC56F" w14:textId="467017A4" w:rsidR="00AE2798" w:rsidRPr="00B817D9" w:rsidRDefault="00AE2798" w:rsidP="000B66BC">
            <w:pPr>
              <w:pStyle w:val="BodyText1"/>
              <w:spacing w:after="240" w:line="240" w:lineRule="auto"/>
              <w:rPr>
                <w:rFonts w:ascii="Times New Roman" w:hAnsi="Times New Roman"/>
                <w:b/>
                <w:bCs/>
                <w:sz w:val="24"/>
                <w:szCs w:val="24"/>
                <w:u w:val="single"/>
              </w:rPr>
            </w:pPr>
            <w:r w:rsidRPr="00B817D9">
              <w:rPr>
                <w:rFonts w:ascii="Times New Roman" w:hAnsi="Times New Roman"/>
                <w:b/>
                <w:sz w:val="24"/>
              </w:rPr>
              <w:t>Transakcje finansowane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uży</w:t>
            </w:r>
            <w:r w:rsidRPr="00B817D9">
              <w:rPr>
                <w:rFonts w:ascii="Times New Roman" w:hAnsi="Times New Roman"/>
                <w:b/>
                <w:sz w:val="24"/>
              </w:rPr>
              <w:t xml:space="preserve">ciem papierów wartościowych: wartość ekspozycji </w:t>
            </w:r>
          </w:p>
          <w:p w14:paraId="24BF7807" w14:textId="1C89124E" w:rsidR="00962812" w:rsidRPr="00B817D9" w:rsidRDefault="00962812" w:rsidP="000B66BC">
            <w:pPr>
              <w:pStyle w:val="BodyText1"/>
              <w:spacing w:after="240" w:line="240" w:lineRule="auto"/>
              <w:rPr>
                <w:rFonts w:ascii="Times New Roman" w:hAnsi="Times New Roman"/>
                <w:sz w:val="24"/>
                <w:szCs w:val="24"/>
              </w:rPr>
            </w:pPr>
            <w:r w:rsidRPr="00B817D9">
              <w:rPr>
                <w:rFonts w:ascii="Times New Roman" w:hAnsi="Times New Roman"/>
                <w:sz w:val="24"/>
              </w:rPr>
              <w:t>Art. 429b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b)</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429b ust.</w:t>
            </w:r>
            <w:r w:rsidR="00B817D9" w:rsidRPr="00B817D9">
              <w:rPr>
                <w:rFonts w:ascii="Times New Roman" w:hAnsi="Times New Roman"/>
                <w:sz w:val="24"/>
              </w:rPr>
              <w:t> </w:t>
            </w:r>
            <w:r w:rsidRPr="00B817D9">
              <w:rPr>
                <w:rFonts w:ascii="Times New Roman" w:hAnsi="Times New Roman"/>
                <w:sz w:val="24"/>
              </w:rPr>
              <w:t>4</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5</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4DADBAA1" w14:textId="45158F7C"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Ekspozycje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SFT obliczane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429b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b)</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429b ust.</w:t>
            </w:r>
            <w:r w:rsidR="00B817D9" w:rsidRPr="00B817D9">
              <w:rPr>
                <w:rFonts w:ascii="Times New Roman" w:hAnsi="Times New Roman"/>
                <w:sz w:val="24"/>
              </w:rPr>
              <w:t> </w:t>
            </w:r>
            <w:r w:rsidRPr="00B817D9">
              <w:rPr>
                <w:rFonts w:ascii="Times New Roman" w:hAnsi="Times New Roman"/>
                <w:sz w:val="24"/>
              </w:rPr>
              <w:t>4</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5</w:t>
            </w:r>
            <w:r w:rsidRPr="00B817D9">
              <w:rPr>
                <w:rFonts w:ascii="Times New Roman" w:hAnsi="Times New Roman"/>
                <w:sz w:val="24"/>
              </w:rPr>
              <w:t xml:space="preserve"> </w:t>
            </w:r>
            <w:r w:rsidR="002965A8" w:rsidRPr="00B817D9">
              <w:rPr>
                <w:rFonts w:ascii="Times New Roman" w:hAnsi="Times New Roman"/>
                <w:sz w:val="24"/>
              </w:rPr>
              <w:t>r</w:t>
            </w:r>
            <w:r w:rsidRPr="00B817D9">
              <w:rPr>
                <w:rFonts w:ascii="Times New Roman" w:hAnsi="Times New Roman"/>
                <w:sz w:val="24"/>
              </w:rPr>
              <w:t>ozporządzenia (UE) nr</w:t>
            </w:r>
            <w:r w:rsidR="00B817D9" w:rsidRPr="00B817D9">
              <w:rPr>
                <w:rFonts w:ascii="Times New Roman" w:hAnsi="Times New Roman"/>
                <w:sz w:val="24"/>
              </w:rPr>
              <w:t> </w:t>
            </w:r>
            <w:r w:rsidRPr="00B817D9">
              <w:rPr>
                <w:rFonts w:ascii="Times New Roman" w:hAnsi="Times New Roman"/>
                <w:sz w:val="24"/>
              </w:rPr>
              <w:t>575/2013.</w:t>
            </w:r>
          </w:p>
          <w:p w14:paraId="7B519931" w14:textId="6A44B42D"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W tej komórce instytucje uwzględniają transakcje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7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2DB53AA1" w14:textId="7745FF9D"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W tej komórce instytucje nie uwzględniają otrzymanych środków pieniężnych ani żadnych papierów wartościowych przekazanych kontrahentowi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wyżej wymienionych transakcji</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zac</w:t>
            </w:r>
            <w:r w:rsidRPr="00B817D9">
              <w:rPr>
                <w:rFonts w:ascii="Times New Roman" w:hAnsi="Times New Roman"/>
                <w:sz w:val="24"/>
              </w:rPr>
              <w:t>howanych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(tj. nie zostały spełnione kryteria rachunkowe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zak</w:t>
            </w:r>
            <w:r w:rsidRPr="00B817D9">
              <w:rPr>
                <w:rFonts w:ascii="Times New Roman" w:hAnsi="Times New Roman"/>
                <w:sz w:val="24"/>
              </w:rPr>
              <w:t>resie usunięcia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ansu). Instytucje podają natomiast te pozycje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{0190;0010}.</w:t>
            </w:r>
          </w:p>
          <w:p w14:paraId="3B9A69FC" w14:textId="1300463A" w:rsidR="00AE2798" w:rsidRPr="00B817D9" w:rsidRDefault="00AE2798" w:rsidP="000B66BC">
            <w:pPr>
              <w:pStyle w:val="BodyText1"/>
              <w:spacing w:after="240" w:line="240" w:lineRule="auto"/>
              <w:rPr>
                <w:rFonts w:ascii="Times New Roman" w:hAnsi="Times New Roman"/>
                <w:bCs/>
                <w:sz w:val="24"/>
                <w:szCs w:val="24"/>
                <w:u w:val="single"/>
              </w:rPr>
            </w:pPr>
            <w:r w:rsidRPr="00B817D9">
              <w:rPr>
                <w:rFonts w:ascii="Times New Roman" w:hAnsi="Times New Roman"/>
                <w:sz w:val="24"/>
              </w:rPr>
              <w:t>Instytucje nie uwzględniają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SFT zawieranych przez pośrednika, jeżeli instytucja udziela klientowi lub kontrahentowi zabezpieczenia lub gwarancji, ograniczających się do różnicy między wartością papierów wartościowych lub środków pieniężnych pożyczonych przez klienta</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war</w:t>
            </w:r>
            <w:r w:rsidRPr="00B817D9">
              <w:rPr>
                <w:rFonts w:ascii="Times New Roman" w:hAnsi="Times New Roman"/>
                <w:sz w:val="24"/>
              </w:rPr>
              <w:t>tością zabezpieczenia zapewnionego przez kredytobiorcę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7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tc>
      </w:tr>
      <w:tr w:rsidR="00AE2798" w:rsidRPr="00B817D9" w14:paraId="76B5A234" w14:textId="77777777" w:rsidTr="008979D2">
        <w:trPr>
          <w:trHeight w:val="304"/>
        </w:trPr>
        <w:tc>
          <w:tcPr>
            <w:tcW w:w="1555" w:type="dxa"/>
            <w:gridSpan w:val="2"/>
          </w:tcPr>
          <w:p w14:paraId="209FB7E2" w14:textId="457D2517" w:rsidR="00AE2798" w:rsidRPr="00B817D9" w:rsidRDefault="00AE2798" w:rsidP="000B66BC">
            <w:pPr>
              <w:pStyle w:val="BodyText1"/>
              <w:spacing w:after="240"/>
              <w:rPr>
                <w:rFonts w:ascii="Times New Roman" w:hAnsi="Times New Roman"/>
                <w:bCs/>
                <w:sz w:val="24"/>
                <w:szCs w:val="24"/>
              </w:rPr>
            </w:pPr>
            <w:r w:rsidRPr="00B817D9">
              <w:rPr>
                <w:rFonts w:ascii="Times New Roman" w:hAnsi="Times New Roman"/>
                <w:sz w:val="24"/>
              </w:rPr>
              <w:t>{0020;0010}</w:t>
            </w:r>
          </w:p>
        </w:tc>
        <w:tc>
          <w:tcPr>
            <w:tcW w:w="7566" w:type="dxa"/>
          </w:tcPr>
          <w:p w14:paraId="2A5E1E69" w14:textId="3918A620" w:rsidR="00AE2798" w:rsidRPr="00B817D9" w:rsidRDefault="00AE2798"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Transakcje finansowane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uży</w:t>
            </w:r>
            <w:r w:rsidRPr="00B817D9">
              <w:rPr>
                <w:rFonts w:ascii="Times New Roman" w:hAnsi="Times New Roman"/>
                <w:b/>
                <w:sz w:val="24"/>
              </w:rPr>
              <w:t>ciem papierów wartościowych: narzut</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ryzyka kredytowego kontrahenta</w:t>
            </w:r>
          </w:p>
          <w:p w14:paraId="54D8230E" w14:textId="5E3A96E3"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429e ust.</w:t>
            </w:r>
            <w:r w:rsidR="00B817D9" w:rsidRPr="00B817D9">
              <w:rPr>
                <w:rFonts w:ascii="Times New Roman" w:hAnsi="Times New Roman"/>
                <w:sz w:val="24"/>
              </w:rPr>
              <w:t> </w:t>
            </w:r>
            <w:r w:rsidRPr="00B817D9">
              <w:rPr>
                <w:rFonts w:ascii="Times New Roman" w:hAnsi="Times New Roman"/>
                <w:sz w:val="24"/>
              </w:rPr>
              <w:t>1 rozporządzenia (UE) nr</w:t>
            </w:r>
            <w:r w:rsidR="00B817D9" w:rsidRPr="00B817D9">
              <w:rPr>
                <w:rFonts w:ascii="Times New Roman" w:hAnsi="Times New Roman"/>
                <w:sz w:val="24"/>
              </w:rPr>
              <w:t> </w:t>
            </w:r>
            <w:r w:rsidRPr="00B817D9">
              <w:rPr>
                <w:rFonts w:ascii="Times New Roman" w:hAnsi="Times New Roman"/>
                <w:sz w:val="24"/>
              </w:rPr>
              <w:t>575/2013</w:t>
            </w:r>
          </w:p>
          <w:p w14:paraId="74373937" w14:textId="0BCD915E"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Narzut</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ryzyka kredytowego kontrahenta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SFT,</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transakcji pozabilansowych, ustalony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2 lub</w:t>
            </w:r>
            <w:r w:rsidR="00B817D9" w:rsidRPr="00B817D9">
              <w:rPr>
                <w:rFonts w:ascii="Times New Roman" w:hAnsi="Times New Roman"/>
                <w:sz w:val="24"/>
              </w:rPr>
              <w:t> </w:t>
            </w:r>
            <w:r w:rsidRPr="00B817D9">
              <w:rPr>
                <w:rFonts w:ascii="Times New Roman" w:hAnsi="Times New Roman"/>
                <w:sz w:val="24"/>
              </w:rPr>
              <w:t>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4 rozporządzenia (UE) nr</w:t>
            </w:r>
            <w:r w:rsidR="00B817D9" w:rsidRPr="00B817D9">
              <w:rPr>
                <w:rFonts w:ascii="Times New Roman" w:hAnsi="Times New Roman"/>
                <w:sz w:val="24"/>
              </w:rPr>
              <w:t> </w:t>
            </w:r>
            <w:r w:rsidRPr="00B817D9">
              <w:rPr>
                <w:rFonts w:ascii="Times New Roman" w:hAnsi="Times New Roman"/>
                <w:sz w:val="24"/>
              </w:rPr>
              <w:t>575/2013, stosownie do przypadku.</w:t>
            </w:r>
          </w:p>
          <w:p w14:paraId="22B58EAB" w14:textId="21DBE432"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W tej komórce instytucje uwzględniają transakcje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7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68CF607E" w14:textId="4D9AB980"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Instytucje nie uwzględniają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SFT zawieranych przez pośrednika, jeżeli instytucja udziela klientowi lub kontrahentowi zabezpieczenia lub gwarancji, ograniczających się do różnicy między wartością papierów wartościowych lub środków pieniężnych pożyczonych przez klienta</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war</w:t>
            </w:r>
            <w:r w:rsidRPr="00B817D9">
              <w:rPr>
                <w:rFonts w:ascii="Times New Roman" w:hAnsi="Times New Roman"/>
                <w:sz w:val="24"/>
              </w:rPr>
              <w:t>tością zabezpieczenia zapewnionego przez kredytobiorcę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7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 Instytucje podają natomiast te pozycje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{0040;0010}.</w:t>
            </w:r>
          </w:p>
        </w:tc>
      </w:tr>
      <w:tr w:rsidR="00AE2798" w:rsidRPr="00B817D9" w14:paraId="0276DE00" w14:textId="77777777" w:rsidTr="008979D2">
        <w:trPr>
          <w:trHeight w:val="304"/>
        </w:trPr>
        <w:tc>
          <w:tcPr>
            <w:tcW w:w="1555" w:type="dxa"/>
            <w:gridSpan w:val="2"/>
          </w:tcPr>
          <w:p w14:paraId="311C9C54" w14:textId="6BFA55DF" w:rsidR="00AE2798" w:rsidRPr="00B817D9" w:rsidRDefault="00AE2798" w:rsidP="000B66BC">
            <w:pPr>
              <w:pStyle w:val="BodyText1"/>
              <w:spacing w:after="240"/>
              <w:rPr>
                <w:rFonts w:ascii="Times New Roman" w:hAnsi="Times New Roman"/>
                <w:bCs/>
                <w:sz w:val="24"/>
                <w:szCs w:val="24"/>
              </w:rPr>
            </w:pPr>
            <w:r w:rsidRPr="00B817D9">
              <w:rPr>
                <w:rFonts w:ascii="Times New Roman" w:hAnsi="Times New Roman"/>
                <w:sz w:val="24"/>
              </w:rPr>
              <w:lastRenderedPageBreak/>
              <w:t>{0030;0010}</w:t>
            </w:r>
          </w:p>
          <w:p w14:paraId="31A60AAC" w14:textId="77777777" w:rsidR="00AE2798" w:rsidRPr="00B817D9" w:rsidRDefault="00AE2798" w:rsidP="000B66BC">
            <w:pPr>
              <w:pStyle w:val="BodyText1"/>
              <w:spacing w:after="240"/>
              <w:rPr>
                <w:rFonts w:ascii="Times New Roman" w:hAnsi="Times New Roman"/>
                <w:bCs/>
                <w:sz w:val="24"/>
                <w:szCs w:val="24"/>
              </w:rPr>
            </w:pPr>
          </w:p>
        </w:tc>
        <w:tc>
          <w:tcPr>
            <w:tcW w:w="7566" w:type="dxa"/>
          </w:tcPr>
          <w:p w14:paraId="49F43F40" w14:textId="19D2D9FF" w:rsidR="00AE2798" w:rsidRPr="00B817D9" w:rsidRDefault="00AE2798"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Odstępstwo</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transakcji finansowanych</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uży</w:t>
            </w:r>
            <w:r w:rsidRPr="00B817D9">
              <w:rPr>
                <w:rFonts w:ascii="Times New Roman" w:hAnsi="Times New Roman"/>
                <w:b/>
                <w:sz w:val="24"/>
              </w:rPr>
              <w:t>ciem papierów wartościowych: narzut zgodnie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w:t>
            </w:r>
            <w:r w:rsidR="00B817D9" w:rsidRPr="00B817D9">
              <w:rPr>
                <w:rFonts w:ascii="Times New Roman" w:hAnsi="Times New Roman"/>
                <w:b/>
                <w:sz w:val="24"/>
              </w:rPr>
              <w:t> </w:t>
            </w:r>
            <w:r w:rsidRPr="00B817D9">
              <w:rPr>
                <w:rFonts w:ascii="Times New Roman" w:hAnsi="Times New Roman"/>
                <w:b/>
                <w:sz w:val="24"/>
              </w:rPr>
              <w:t>429e ust.</w:t>
            </w:r>
            <w:r w:rsidR="00B817D9" w:rsidRPr="00B817D9">
              <w:rPr>
                <w:rFonts w:ascii="Times New Roman" w:hAnsi="Times New Roman"/>
                <w:b/>
                <w:sz w:val="24"/>
              </w:rPr>
              <w:t> </w:t>
            </w:r>
            <w:r w:rsidRPr="00B817D9">
              <w:rPr>
                <w:rFonts w:ascii="Times New Roman" w:hAnsi="Times New Roman"/>
                <w:b/>
                <w:sz w:val="24"/>
              </w:rPr>
              <w:t>5</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w:t>
            </w:r>
            <w:r w:rsidR="00B817D9" w:rsidRPr="00B817D9">
              <w:rPr>
                <w:rFonts w:ascii="Times New Roman" w:hAnsi="Times New Roman"/>
                <w:b/>
                <w:sz w:val="24"/>
              </w:rPr>
              <w:t> </w:t>
            </w:r>
            <w:r w:rsidRPr="00B817D9">
              <w:rPr>
                <w:rFonts w:ascii="Times New Roman" w:hAnsi="Times New Roman"/>
                <w:b/>
                <w:sz w:val="24"/>
              </w:rPr>
              <w:t>222 CRR</w:t>
            </w:r>
          </w:p>
          <w:p w14:paraId="2D39F187" w14:textId="64D7F6A3"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429e ust.</w:t>
            </w:r>
            <w:r w:rsidR="00B817D9" w:rsidRPr="00B817D9">
              <w:rPr>
                <w:rFonts w:ascii="Times New Roman" w:hAnsi="Times New Roman"/>
                <w:sz w:val="24"/>
              </w:rPr>
              <w:t> </w:t>
            </w:r>
            <w:r w:rsidRPr="00B817D9">
              <w:rPr>
                <w:rFonts w:ascii="Times New Roman" w:hAnsi="Times New Roman"/>
                <w:sz w:val="24"/>
              </w:rPr>
              <w:t>5</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222 rozporządzenia (UE) nr</w:t>
            </w:r>
            <w:r w:rsidR="00B817D9" w:rsidRPr="00B817D9">
              <w:rPr>
                <w:rFonts w:ascii="Times New Roman" w:hAnsi="Times New Roman"/>
                <w:sz w:val="24"/>
              </w:rPr>
              <w:t> </w:t>
            </w:r>
            <w:r w:rsidRPr="00B817D9">
              <w:rPr>
                <w:rFonts w:ascii="Times New Roman" w:hAnsi="Times New Roman"/>
                <w:sz w:val="24"/>
              </w:rPr>
              <w:t>575/2013</w:t>
            </w:r>
          </w:p>
          <w:p w14:paraId="738B5B54" w14:textId="69E8CFB1"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SFT,</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transakcji pozabilansowych, obliczona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222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zac</w:t>
            </w:r>
            <w:r w:rsidRPr="00B817D9">
              <w:rPr>
                <w:rFonts w:ascii="Times New Roman" w:hAnsi="Times New Roman"/>
                <w:sz w:val="24"/>
              </w:rPr>
              <w:t>howaniem dolnego ograniczenia na poziomie 20 %</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 xml:space="preserve">iesieniu do mającej zastosowanie wagi ryzyka. </w:t>
            </w:r>
          </w:p>
          <w:p w14:paraId="3D5D2C18" w14:textId="0E4B3CC8"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W tej komórce instytucje uwzględniają transakcje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7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29AD8FEA" w14:textId="74A5222E"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uwzględniają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transakcji,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których wartość narzutu uwzględniona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war</w:t>
            </w:r>
            <w:r w:rsidRPr="00B817D9">
              <w:rPr>
                <w:rFonts w:ascii="Times New Roman" w:hAnsi="Times New Roman"/>
                <w:sz w:val="24"/>
              </w:rPr>
              <w:t>tości ekspozycji wskaźnika dźwigni ustalana jest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met</w:t>
            </w:r>
            <w:r w:rsidRPr="00B817D9">
              <w:rPr>
                <w:rFonts w:ascii="Times New Roman" w:hAnsi="Times New Roman"/>
                <w:sz w:val="24"/>
              </w:rPr>
              <w:t>odą,</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rej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1 rozporządzenia (UE) nr</w:t>
            </w:r>
            <w:r w:rsidR="00B817D9" w:rsidRPr="00B817D9">
              <w:rPr>
                <w:rFonts w:ascii="Times New Roman" w:hAnsi="Times New Roman"/>
                <w:sz w:val="24"/>
              </w:rPr>
              <w:t> </w:t>
            </w:r>
            <w:r w:rsidRPr="00B817D9">
              <w:rPr>
                <w:rFonts w:ascii="Times New Roman" w:hAnsi="Times New Roman"/>
                <w:sz w:val="24"/>
              </w:rPr>
              <w:t>575/2013.</w:t>
            </w:r>
          </w:p>
        </w:tc>
      </w:tr>
      <w:tr w:rsidR="00AE2798" w:rsidRPr="00B817D9" w14:paraId="5E04553E" w14:textId="77777777" w:rsidTr="008979D2">
        <w:trPr>
          <w:trHeight w:val="304"/>
        </w:trPr>
        <w:tc>
          <w:tcPr>
            <w:tcW w:w="1555" w:type="dxa"/>
            <w:gridSpan w:val="2"/>
          </w:tcPr>
          <w:p w14:paraId="252F5F3F" w14:textId="40B73EF4" w:rsidR="00AE2798" w:rsidRPr="00B817D9" w:rsidRDefault="00AE2798" w:rsidP="000B66BC">
            <w:pPr>
              <w:pStyle w:val="BodyText1"/>
              <w:spacing w:after="240"/>
              <w:rPr>
                <w:rFonts w:ascii="Times New Roman" w:hAnsi="Times New Roman"/>
                <w:bCs/>
                <w:sz w:val="24"/>
                <w:szCs w:val="24"/>
              </w:rPr>
            </w:pPr>
            <w:r w:rsidRPr="00B817D9">
              <w:rPr>
                <w:rFonts w:ascii="Times New Roman" w:hAnsi="Times New Roman"/>
                <w:sz w:val="24"/>
              </w:rPr>
              <w:t>{0040;0010}</w:t>
            </w:r>
          </w:p>
        </w:tc>
        <w:tc>
          <w:tcPr>
            <w:tcW w:w="7566" w:type="dxa"/>
          </w:tcPr>
          <w:p w14:paraId="2565C50A" w14:textId="3CE75992"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b/>
                <w:sz w:val="24"/>
              </w:rPr>
              <w:t>Ryzyko kredytowe kontrahenta</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transakcji finansowanych</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uży</w:t>
            </w:r>
            <w:r w:rsidRPr="00B817D9">
              <w:rPr>
                <w:rFonts w:ascii="Times New Roman" w:hAnsi="Times New Roman"/>
                <w:b/>
                <w:sz w:val="24"/>
              </w:rPr>
              <w:t xml:space="preserve">ciem papierów wartościowych zawieranych przez pośrednika </w:t>
            </w:r>
          </w:p>
          <w:p w14:paraId="475F166E" w14:textId="54B1D4B1" w:rsidR="00E1045E" w:rsidRPr="00B817D9" w:rsidRDefault="00E1045E"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429e ust.</w:t>
            </w:r>
            <w:r w:rsidR="00B817D9" w:rsidRPr="00B817D9">
              <w:rPr>
                <w:rFonts w:ascii="Times New Roman" w:hAnsi="Times New Roman"/>
                <w:sz w:val="24"/>
              </w:rPr>
              <w:t> </w:t>
            </w:r>
            <w:r w:rsidRPr="00B817D9">
              <w:rPr>
                <w:rFonts w:ascii="Times New Roman" w:hAnsi="Times New Roman"/>
                <w:sz w:val="24"/>
              </w:rPr>
              <w:t>7 lit.</w:t>
            </w:r>
            <w:r w:rsidR="00B817D9" w:rsidRPr="00B817D9">
              <w:rPr>
                <w:rFonts w:ascii="Times New Roman" w:hAnsi="Times New Roman"/>
                <w:sz w:val="24"/>
              </w:rPr>
              <w:t> </w:t>
            </w:r>
            <w:r w:rsidRPr="00B817D9">
              <w:rPr>
                <w:rFonts w:ascii="Times New Roman" w:hAnsi="Times New Roman"/>
                <w:sz w:val="24"/>
              </w:rPr>
              <w:t>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1619B100" w14:textId="1C0DCDBA"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SFT zawieranych przez pośrednika, jeżeli instytucja udziela klientowi lub kontrahentowi zabezpieczenia lub gwarancji, ograniczających się do różnicy między wartością papierów wartościowych lub środków pieniężnych pożyczonych przez klienta</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war</w:t>
            </w:r>
            <w:r w:rsidRPr="00B817D9">
              <w:rPr>
                <w:rFonts w:ascii="Times New Roman" w:hAnsi="Times New Roman"/>
                <w:sz w:val="24"/>
              </w:rPr>
              <w:t>tością zabezpieczenia zapewnionego przez kredytobiorcę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7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 obejmuje jedynie narzut ustalony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2 lub</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 stosownie do przypadku.</w:t>
            </w:r>
          </w:p>
          <w:p w14:paraId="138E8801" w14:textId="0179CD80"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W tej komórce instytucje nie uwzględniają transakcji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429e ust.</w:t>
            </w:r>
            <w:r w:rsidR="00B817D9" w:rsidRPr="00B817D9">
              <w:rPr>
                <w:rFonts w:ascii="Times New Roman" w:hAnsi="Times New Roman"/>
                <w:sz w:val="24"/>
              </w:rPr>
              <w:t> </w:t>
            </w:r>
            <w:r w:rsidRPr="00B817D9">
              <w:rPr>
                <w:rFonts w:ascii="Times New Roman" w:hAnsi="Times New Roman"/>
                <w:sz w:val="24"/>
              </w:rPr>
              <w:t>7 lit.</w:t>
            </w:r>
            <w:r w:rsidR="00B817D9" w:rsidRPr="00B817D9">
              <w:rPr>
                <w:rFonts w:ascii="Times New Roman" w:hAnsi="Times New Roman"/>
                <w:sz w:val="24"/>
              </w:rPr>
              <w:t> </w:t>
            </w:r>
            <w:r w:rsidRPr="00B817D9">
              <w:rPr>
                <w:rFonts w:ascii="Times New Roman" w:hAnsi="Times New Roman"/>
                <w:sz w:val="24"/>
              </w:rPr>
              <w:t>c). Instytucje podają te pozycje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órkach {0010;0010} i{0020;0010} lub {0010;0010} i {0030;0010}, stosownie do przypadku.</w:t>
            </w:r>
          </w:p>
        </w:tc>
      </w:tr>
      <w:tr w:rsidR="00AE2798" w:rsidRPr="00B817D9" w14:paraId="730C9B47" w14:textId="77777777" w:rsidTr="008979D2">
        <w:trPr>
          <w:trHeight w:val="304"/>
        </w:trPr>
        <w:tc>
          <w:tcPr>
            <w:tcW w:w="1555" w:type="dxa"/>
            <w:gridSpan w:val="2"/>
          </w:tcPr>
          <w:p w14:paraId="67472548" w14:textId="3E8951DA" w:rsidR="00AE2798" w:rsidRPr="00B817D9" w:rsidRDefault="00AE2798" w:rsidP="000B66BC">
            <w:pPr>
              <w:pStyle w:val="BodyText1"/>
              <w:spacing w:after="240"/>
              <w:rPr>
                <w:rFonts w:ascii="Times New Roman" w:hAnsi="Times New Roman"/>
                <w:bCs/>
                <w:sz w:val="24"/>
                <w:szCs w:val="24"/>
              </w:rPr>
            </w:pPr>
            <w:r w:rsidRPr="00B817D9">
              <w:rPr>
                <w:rFonts w:ascii="Times New Roman" w:hAnsi="Times New Roman"/>
                <w:sz w:val="24"/>
              </w:rPr>
              <w:t>{0050;0010}</w:t>
            </w:r>
          </w:p>
        </w:tc>
        <w:tc>
          <w:tcPr>
            <w:tcW w:w="7566" w:type="dxa"/>
          </w:tcPr>
          <w:p w14:paraId="2F6E1B5E" w14:textId="4756E80D" w:rsidR="00AE2798" w:rsidRPr="00B817D9" w:rsidRDefault="005556D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 Wyłączone ekspozycje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transakcji finansowanych</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uży</w:t>
            </w:r>
            <w:r w:rsidRPr="00B817D9">
              <w:rPr>
                <w:rFonts w:ascii="Times New Roman" w:hAnsi="Times New Roman"/>
                <w:b/>
                <w:sz w:val="24"/>
              </w:rPr>
              <w:t>ciem papierów wartościowych rozliczanych za pośrednictwem klienta</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składnika rozliczanego</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kon</w:t>
            </w:r>
            <w:r w:rsidRPr="00B817D9">
              <w:rPr>
                <w:rFonts w:ascii="Times New Roman" w:hAnsi="Times New Roman"/>
                <w:b/>
                <w:sz w:val="24"/>
              </w:rPr>
              <w:t>trahentem centralnym</w:t>
            </w:r>
          </w:p>
          <w:p w14:paraId="1B6574CC" w14:textId="6F7585DB" w:rsidR="00AE2798" w:rsidRPr="00B817D9" w:rsidRDefault="00E1045E"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g)</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306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5E6D8E3F" w14:textId="2C52C0AD" w:rsidR="00AE2798" w:rsidRPr="00B817D9" w:rsidRDefault="00AE2798" w:rsidP="000B66BC">
            <w:pPr>
              <w:pStyle w:val="BodyText1"/>
              <w:spacing w:after="240" w:line="240" w:lineRule="auto"/>
              <w:rPr>
                <w:rFonts w:ascii="Times New Roman" w:hAnsi="Times New Roman"/>
                <w:bCs/>
                <w:sz w:val="24"/>
                <w:szCs w:val="24"/>
              </w:rPr>
            </w:pPr>
            <w:r w:rsidRPr="00B817D9">
              <w:rPr>
                <w:rFonts w:ascii="Times New Roman" w:hAnsi="Times New Roman"/>
                <w:sz w:val="24"/>
              </w:rPr>
              <w:t>Wyłączone ekspozycje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SFT rozliczanych za pośrednictwem klienta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składnika rozliczanego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kon</w:t>
            </w:r>
            <w:r w:rsidRPr="00B817D9">
              <w:rPr>
                <w:rFonts w:ascii="Times New Roman" w:hAnsi="Times New Roman"/>
                <w:sz w:val="24"/>
              </w:rPr>
              <w:t>trahentem centralnym, pod warunkiem że pozycje te spełniają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306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39011247" w14:textId="1306C6D1" w:rsidR="004052F0" w:rsidRPr="00B817D9" w:rsidRDefault="004052F0" w:rsidP="000B66BC">
            <w:pPr>
              <w:pStyle w:val="BodyText1"/>
              <w:spacing w:after="240" w:line="240" w:lineRule="auto"/>
              <w:rPr>
                <w:rFonts w:ascii="Times New Roman" w:hAnsi="Times New Roman"/>
                <w:bCs/>
                <w:sz w:val="24"/>
                <w:szCs w:val="24"/>
              </w:rPr>
            </w:pPr>
            <w:r w:rsidRPr="00B817D9">
              <w:rPr>
                <w:rFonts w:ascii="Times New Roman" w:hAnsi="Times New Roman"/>
                <w:sz w:val="24"/>
              </w:rPr>
              <w:t>W przypadku gdy wyłączony składnik rozliczany</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kon</w:t>
            </w:r>
            <w:r w:rsidRPr="00B817D9">
              <w:rPr>
                <w:rFonts w:ascii="Times New Roman" w:hAnsi="Times New Roman"/>
                <w:sz w:val="24"/>
              </w:rPr>
              <w:t>trahentem centralnym jest papierem wartościowym, nie zgłasza się 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chyba że jest to papier wartościowy obciążony innym zastawem, który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 (tj.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1 zdanie pierwsze rozporządzenia (UE) nr</w:t>
            </w:r>
            <w:r w:rsidR="00B817D9" w:rsidRPr="00B817D9">
              <w:rPr>
                <w:rFonts w:ascii="Times New Roman" w:hAnsi="Times New Roman"/>
                <w:sz w:val="24"/>
              </w:rPr>
              <w:t> </w:t>
            </w:r>
            <w:r w:rsidRPr="00B817D9">
              <w:rPr>
                <w:rFonts w:ascii="Times New Roman" w:hAnsi="Times New Roman"/>
                <w:sz w:val="24"/>
              </w:rPr>
              <w:t>575/2013) ujęto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peł</w:t>
            </w:r>
            <w:r w:rsidRPr="00B817D9">
              <w:rPr>
                <w:rFonts w:ascii="Times New Roman" w:hAnsi="Times New Roman"/>
                <w:sz w:val="24"/>
              </w:rPr>
              <w:t>nej wartości.</w:t>
            </w:r>
          </w:p>
          <w:p w14:paraId="0885E19A" w14:textId="30C9DF77" w:rsidR="00AF6C6D" w:rsidRPr="00B817D9" w:rsidRDefault="005A1D6D"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Kwotę zgłoszoną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instytucje uwzględniają także, jak gdyby nie miały zastosowania żadne wyłączenia,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órkach {0010;0010}, {0020;0010} i {0030;0010} oraz – jeżeli jest to papier wartościowy obciążony innym zastawem, który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 ujęto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peł</w:t>
            </w:r>
            <w:r w:rsidRPr="00B817D9">
              <w:rPr>
                <w:rFonts w:ascii="Times New Roman" w:hAnsi="Times New Roman"/>
                <w:sz w:val="24"/>
              </w:rPr>
              <w:t>nej wartości – dodatkowo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{0190;0010}.</w:t>
            </w:r>
          </w:p>
          <w:p w14:paraId="2D82192D" w14:textId="3DBB433A" w:rsidR="00AE2798" w:rsidRPr="00B817D9" w:rsidRDefault="00AF6C6D" w:rsidP="000B66BC">
            <w:pPr>
              <w:pStyle w:val="BodyText1"/>
              <w:spacing w:after="240" w:line="240" w:lineRule="auto"/>
              <w:rPr>
                <w:rFonts w:ascii="Times New Roman" w:hAnsi="Times New Roman"/>
                <w:bCs/>
                <w:sz w:val="24"/>
                <w:szCs w:val="24"/>
              </w:rPr>
            </w:pPr>
            <w:r w:rsidRPr="00B817D9">
              <w:rPr>
                <w:rFonts w:ascii="Times New Roman" w:hAnsi="Times New Roman"/>
                <w:sz w:val="24"/>
              </w:rPr>
              <w:t>W przypadku gdy instytucja wniosła początkowy depozyt zabezpieczający</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wyłączonego składnika SFT, który wykazuje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{0190;0010},</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 xml:space="preserve"> wykazuje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órkach {0020;0010} lub {0030;0010}, wówczas instytucja może zgłosić to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w:t>
            </w:r>
          </w:p>
        </w:tc>
      </w:tr>
      <w:tr w:rsidR="00AA0445" w:rsidRPr="00B817D9" w14:paraId="22358CE2" w14:textId="77777777" w:rsidTr="008979D2">
        <w:trPr>
          <w:trHeight w:val="304"/>
        </w:trPr>
        <w:tc>
          <w:tcPr>
            <w:tcW w:w="1555" w:type="dxa"/>
            <w:gridSpan w:val="2"/>
            <w:tcBorders>
              <w:bottom w:val="single" w:sz="4" w:space="0" w:color="auto"/>
            </w:tcBorders>
          </w:tcPr>
          <w:p w14:paraId="45ADDB05" w14:textId="0401F47D" w:rsidR="00AE3377" w:rsidRPr="00B817D9" w:rsidRDefault="00AE3377" w:rsidP="000B66BC">
            <w:pPr>
              <w:pStyle w:val="BodyText1"/>
              <w:spacing w:after="240"/>
              <w:rPr>
                <w:rFonts w:ascii="Times New Roman" w:hAnsi="Times New Roman"/>
                <w:bCs/>
                <w:sz w:val="24"/>
                <w:szCs w:val="24"/>
              </w:rPr>
            </w:pPr>
            <w:r w:rsidRPr="00B817D9">
              <w:rPr>
                <w:rFonts w:ascii="Times New Roman" w:hAnsi="Times New Roman"/>
                <w:sz w:val="24"/>
              </w:rPr>
              <w:lastRenderedPageBreak/>
              <w:t>{0061;0010}</w:t>
            </w:r>
          </w:p>
          <w:p w14:paraId="39B81BC5" w14:textId="77777777" w:rsidR="00AE3377" w:rsidRPr="00B817D9" w:rsidRDefault="00AE3377" w:rsidP="000B66BC">
            <w:pPr>
              <w:pStyle w:val="BodyText1"/>
              <w:spacing w:after="240"/>
              <w:rPr>
                <w:rFonts w:ascii="Times New Roman" w:hAnsi="Times New Roman"/>
                <w:bCs/>
                <w:sz w:val="24"/>
                <w:szCs w:val="24"/>
              </w:rPr>
            </w:pPr>
          </w:p>
          <w:p w14:paraId="670E1CF2" w14:textId="77777777" w:rsidR="00AA0445" w:rsidRPr="00B817D9"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2CCB0148" w:rsidR="00AE3377" w:rsidRPr="00B817D9" w:rsidRDefault="00AE3377" w:rsidP="000B66BC">
            <w:pPr>
              <w:pStyle w:val="BodyText1"/>
              <w:spacing w:after="240" w:line="240" w:lineRule="auto"/>
              <w:rPr>
                <w:rFonts w:ascii="Times New Roman" w:hAnsi="Times New Roman"/>
                <w:bCs/>
                <w:sz w:val="24"/>
                <w:szCs w:val="24"/>
              </w:rPr>
            </w:pPr>
            <w:r w:rsidRPr="00B817D9">
              <w:rPr>
                <w:rFonts w:ascii="Times New Roman" w:hAnsi="Times New Roman"/>
                <w:b/>
                <w:sz w:val="24"/>
              </w:rPr>
              <w:t>Instrumenty pochodne: wkład</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kos</w:t>
            </w:r>
            <w:r w:rsidRPr="00B817D9">
              <w:rPr>
                <w:rFonts w:ascii="Times New Roman" w:hAnsi="Times New Roman"/>
                <w:b/>
                <w:sz w:val="24"/>
              </w:rPr>
              <w:t xml:space="preserve">zt odtworzenia na podstawie metody standardowej dotyczącej CCR (bez wpływu zabezpieczenia uwzględnionego przy obliczaniu wartości niezależnego zabezpieczenia netto) </w:t>
            </w:r>
          </w:p>
          <w:p w14:paraId="303004A2" w14:textId="0E0382E9" w:rsidR="00AA0445" w:rsidRPr="00B817D9" w:rsidRDefault="00AA0445"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429c ust.</w:t>
            </w:r>
            <w:r w:rsidR="00B817D9" w:rsidRPr="00B817D9">
              <w:rPr>
                <w:rFonts w:ascii="Times New Roman" w:hAnsi="Times New Roman"/>
                <w:sz w:val="24"/>
              </w:rPr>
              <w:t> </w:t>
            </w:r>
            <w:r w:rsidRPr="00B817D9">
              <w:rPr>
                <w:rFonts w:ascii="Times New Roman" w:hAnsi="Times New Roman"/>
                <w:sz w:val="24"/>
              </w:rPr>
              <w:t>1 rozporządzenia (UE) nr</w:t>
            </w:r>
            <w:r w:rsidR="00B817D9" w:rsidRPr="00B817D9">
              <w:rPr>
                <w:rFonts w:ascii="Times New Roman" w:hAnsi="Times New Roman"/>
                <w:sz w:val="24"/>
              </w:rPr>
              <w:t> </w:t>
            </w:r>
            <w:r w:rsidRPr="00B817D9">
              <w:rPr>
                <w:rFonts w:ascii="Times New Roman" w:hAnsi="Times New Roman"/>
                <w:sz w:val="24"/>
              </w:rPr>
              <w:t>575/2013</w:t>
            </w:r>
          </w:p>
          <w:p w14:paraId="3B8148BD" w14:textId="55144BAF" w:rsidR="000864F6" w:rsidRPr="00B817D9" w:rsidRDefault="004E204E" w:rsidP="000B66BC">
            <w:pPr>
              <w:pStyle w:val="BodyText1"/>
              <w:spacing w:after="240" w:line="240" w:lineRule="auto"/>
              <w:rPr>
                <w:rFonts w:ascii="Times New Roman" w:hAnsi="Times New Roman"/>
                <w:bCs/>
                <w:sz w:val="24"/>
                <w:szCs w:val="24"/>
              </w:rPr>
            </w:pPr>
            <w:r w:rsidRPr="00B817D9">
              <w:rPr>
                <w:rFonts w:ascii="Times New Roman" w:hAnsi="Times New Roman"/>
                <w:sz w:val="24"/>
              </w:rPr>
              <w:t>Koszt odtworzenia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275 rozporządzenia (UE) nr</w:t>
            </w:r>
            <w:r w:rsidR="00B817D9" w:rsidRPr="00B817D9">
              <w:rPr>
                <w:rFonts w:ascii="Times New Roman" w:hAnsi="Times New Roman"/>
                <w:sz w:val="24"/>
              </w:rPr>
              <w:t> </w:t>
            </w:r>
            <w:r w:rsidRPr="00B817D9">
              <w:rPr>
                <w:rFonts w:ascii="Times New Roman" w:hAnsi="Times New Roman"/>
                <w:sz w:val="24"/>
              </w:rPr>
              <w:t>575/2013 bez skutku zabezpieczenia wartości niezależnego zabezpieczenia netto</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bez</w:t>
            </w:r>
            <w:r w:rsidRPr="00B817D9">
              <w:rPr>
                <w:rFonts w:ascii="Times New Roman" w:hAnsi="Times New Roman"/>
                <w:sz w:val="24"/>
              </w:rPr>
              <w:t xml:space="preserve"> skutku zmiennego depozytu zabezpieczającego. Do celów tej komórki instytucje nie stosują odstępstw przewidzianych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4</w:t>
            </w:r>
            <w:r w:rsidRPr="00B817D9">
              <w:rPr>
                <w:rFonts w:ascii="Times New Roman" w:hAnsi="Times New Roman"/>
                <w:sz w:val="24"/>
              </w:rPr>
              <w:t xml:space="preserve"> ani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g) rozporządzenia (UE) nr</w:t>
            </w:r>
            <w:r w:rsidR="00B817D9" w:rsidRPr="00B817D9">
              <w:rPr>
                <w:rFonts w:ascii="Times New Roman" w:hAnsi="Times New Roman"/>
                <w:sz w:val="24"/>
              </w:rPr>
              <w:t> </w:t>
            </w:r>
            <w:r w:rsidRPr="00B817D9">
              <w:rPr>
                <w:rFonts w:ascii="Times New Roman" w:hAnsi="Times New Roman"/>
                <w:sz w:val="24"/>
              </w:rPr>
              <w:t>575/2013. Kwotę zgłasza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tosowaniem współczynnika alfa wynoszącego 1,4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274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69D03BFF" w14:textId="08DBF0BC" w:rsidR="000864F6" w:rsidRPr="00B817D9" w:rsidRDefault="000864F6" w:rsidP="000B66BC">
            <w:pPr>
              <w:pStyle w:val="BodyText1"/>
              <w:spacing w:after="240" w:line="240" w:lineRule="auto"/>
              <w:rPr>
                <w:rFonts w:ascii="Times New Roman" w:hAnsi="Times New Roman"/>
                <w:bCs/>
                <w:sz w:val="24"/>
                <w:szCs w:val="24"/>
              </w:rPr>
            </w:pPr>
            <w:r w:rsidRPr="00B817D9">
              <w:rPr>
                <w:rFonts w:ascii="Times New Roman" w:hAnsi="Times New Roman"/>
                <w:sz w:val="24"/>
              </w:rPr>
              <w:t>Jak określono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1 rozporządzenia (UE) nr</w:t>
            </w:r>
            <w:r w:rsidR="00B817D9" w:rsidRPr="00B817D9">
              <w:rPr>
                <w:rFonts w:ascii="Times New Roman" w:hAnsi="Times New Roman"/>
                <w:sz w:val="24"/>
              </w:rPr>
              <w:t> </w:t>
            </w:r>
            <w:r w:rsidRPr="00B817D9">
              <w:rPr>
                <w:rFonts w:ascii="Times New Roman" w:hAnsi="Times New Roman"/>
                <w:sz w:val="24"/>
              </w:rPr>
              <w:t>575/2013, instytucje mogą brać pod uwagę skutki umów nowacji</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inn</w:t>
            </w:r>
            <w:r w:rsidRPr="00B817D9">
              <w:rPr>
                <w:rFonts w:ascii="Times New Roman" w:hAnsi="Times New Roman"/>
                <w:sz w:val="24"/>
              </w:rPr>
              <w:t>ych umów</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pensowaniu zobowiązań,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295 rozporządzenia (UE) nr</w:t>
            </w:r>
            <w:r w:rsidR="00B817D9" w:rsidRPr="00B817D9">
              <w:rPr>
                <w:rFonts w:ascii="Times New Roman" w:hAnsi="Times New Roman"/>
                <w:sz w:val="24"/>
              </w:rPr>
              <w:t> </w:t>
            </w:r>
            <w:r w:rsidRPr="00B817D9">
              <w:rPr>
                <w:rFonts w:ascii="Times New Roman" w:hAnsi="Times New Roman"/>
                <w:sz w:val="24"/>
              </w:rPr>
              <w:t>575/2013. Kompensowanie międzyproduktowe nie ma zastosowania. Instytucje mogą jednak dokonywać kompensacji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danej kategorii produktu,</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rej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272 pkt</w:t>
            </w:r>
            <w:r w:rsidR="00B817D9" w:rsidRPr="00B817D9">
              <w:rPr>
                <w:rFonts w:ascii="Times New Roman" w:hAnsi="Times New Roman"/>
                <w:sz w:val="24"/>
              </w:rPr>
              <w:t> </w:t>
            </w:r>
            <w:r w:rsidRPr="00B817D9">
              <w:rPr>
                <w:rFonts w:ascii="Times New Roman" w:hAnsi="Times New Roman"/>
                <w:sz w:val="24"/>
              </w:rPr>
              <w:t>25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 xml:space="preserve">ach kredytowych instrumentów pochodnych, kiedy są </w:t>
            </w:r>
            <w:r w:rsidRPr="00B817D9">
              <w:rPr>
                <w:rFonts w:ascii="Times New Roman" w:hAnsi="Times New Roman"/>
                <w:sz w:val="24"/>
              </w:rPr>
              <w:lastRenderedPageBreak/>
              <w:t>związane umową</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pensowaniu międzyproduktowym,</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rej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295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68582320" w14:textId="41354172" w:rsidR="00AA0445" w:rsidRPr="00B817D9" w:rsidRDefault="000864F6"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uwzględniają wszystkie kredytowe instrumenty pochodne, nie tylko te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por</w:t>
            </w:r>
            <w:r w:rsidRPr="00B817D9">
              <w:rPr>
                <w:rFonts w:ascii="Times New Roman" w:hAnsi="Times New Roman"/>
                <w:sz w:val="24"/>
              </w:rPr>
              <w:t>tfelu handlowym.</w:t>
            </w:r>
          </w:p>
          <w:p w14:paraId="2DFB7147" w14:textId="68FB00AB" w:rsidR="00AA0445" w:rsidRPr="00B817D9" w:rsidRDefault="008C451E" w:rsidP="000B66BC">
            <w:pPr>
              <w:pStyle w:val="BodyText1"/>
              <w:spacing w:after="240" w:line="240" w:lineRule="auto"/>
              <w:rPr>
                <w:rFonts w:ascii="Times New Roman" w:hAnsi="Times New Roman"/>
                <w:b/>
                <w:sz w:val="24"/>
                <w:szCs w:val="24"/>
              </w:rPr>
            </w:pPr>
            <w:r w:rsidRPr="00B817D9">
              <w:rPr>
                <w:rFonts w:ascii="Times New Roman" w:hAnsi="Times New Roman"/>
                <w:sz w:val="24"/>
              </w:rPr>
              <w:t>Instytucje nie uwzględniają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umów wycenianych przy zastosowaniu uproszczonej metody standardowej lub metody wyceny pierwotnej ekspozycji.</w:t>
            </w:r>
          </w:p>
        </w:tc>
      </w:tr>
      <w:tr w:rsidR="00AA0445" w:rsidRPr="00B817D9" w14:paraId="6839640F" w14:textId="77777777" w:rsidTr="008979D2">
        <w:trPr>
          <w:trHeight w:val="304"/>
        </w:trPr>
        <w:tc>
          <w:tcPr>
            <w:tcW w:w="1555" w:type="dxa"/>
            <w:gridSpan w:val="2"/>
            <w:tcBorders>
              <w:bottom w:val="single" w:sz="4" w:space="0" w:color="auto"/>
            </w:tcBorders>
          </w:tcPr>
          <w:p w14:paraId="7B6A76A4" w14:textId="48C3F797" w:rsidR="00AE3377" w:rsidRPr="00B817D9" w:rsidRDefault="00AE3377" w:rsidP="000B66BC">
            <w:pPr>
              <w:pStyle w:val="BodyText1"/>
              <w:spacing w:after="240"/>
              <w:rPr>
                <w:rFonts w:ascii="Times New Roman" w:hAnsi="Times New Roman"/>
                <w:bCs/>
                <w:sz w:val="24"/>
                <w:szCs w:val="24"/>
              </w:rPr>
            </w:pPr>
            <w:r w:rsidRPr="00B817D9">
              <w:rPr>
                <w:rFonts w:ascii="Times New Roman" w:hAnsi="Times New Roman"/>
                <w:sz w:val="24"/>
              </w:rPr>
              <w:lastRenderedPageBreak/>
              <w:t>{0065;0010}</w:t>
            </w:r>
          </w:p>
          <w:p w14:paraId="3E5668CA" w14:textId="77777777" w:rsidR="00AE3377" w:rsidRPr="00B817D9" w:rsidRDefault="00AE3377" w:rsidP="000B66BC">
            <w:pPr>
              <w:pStyle w:val="BodyText1"/>
              <w:spacing w:after="240"/>
              <w:rPr>
                <w:rFonts w:ascii="Times New Roman" w:hAnsi="Times New Roman"/>
                <w:bCs/>
                <w:sz w:val="24"/>
                <w:szCs w:val="24"/>
              </w:rPr>
            </w:pPr>
          </w:p>
          <w:p w14:paraId="13FEE6ED" w14:textId="77777777" w:rsidR="00AA0445" w:rsidRPr="00B817D9"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737442ED" w:rsidR="00AE3377" w:rsidRPr="00B817D9" w:rsidRDefault="00AE337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 Wpływ ujmowania zabezpieczenia uwzględnionego przy obliczaniu wartości niezależnego zabezpieczenia netto na rozliczane za pośrednictwem klienta transakcje zawierane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kwa</w:t>
            </w:r>
            <w:r w:rsidRPr="00B817D9">
              <w:rPr>
                <w:rFonts w:ascii="Times New Roman" w:hAnsi="Times New Roman"/>
                <w:b/>
                <w:sz w:val="24"/>
              </w:rPr>
              <w:t>lifikującym się kontrahentem centralnym (metoda standardowa dotycząca CCR – koszt odtworzenia)</w:t>
            </w:r>
          </w:p>
          <w:p w14:paraId="4393A5C2" w14:textId="4F2E544C" w:rsidR="00AA0445" w:rsidRPr="00B817D9" w:rsidRDefault="00AA0445"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429c ust.</w:t>
            </w:r>
            <w:r w:rsidR="00B817D9" w:rsidRPr="00B817D9">
              <w:rPr>
                <w:rFonts w:ascii="Times New Roman" w:hAnsi="Times New Roman"/>
                <w:sz w:val="24"/>
              </w:rPr>
              <w:t> </w:t>
            </w:r>
            <w:r w:rsidRPr="00B817D9">
              <w:rPr>
                <w:rFonts w:ascii="Times New Roman" w:hAnsi="Times New Roman"/>
                <w:sz w:val="24"/>
              </w:rPr>
              <w:t>4</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4</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5BDFEC31" w14:textId="4C8BA5A6" w:rsidR="00AA0445" w:rsidRPr="00B817D9" w:rsidRDefault="00143A3F" w:rsidP="000B66BC">
            <w:pPr>
              <w:pStyle w:val="BodyText1"/>
              <w:spacing w:after="240" w:line="240" w:lineRule="auto"/>
              <w:rPr>
                <w:rFonts w:ascii="Times New Roman" w:hAnsi="Times New Roman"/>
                <w:bCs/>
                <w:sz w:val="24"/>
                <w:szCs w:val="24"/>
              </w:rPr>
            </w:pPr>
            <w:r w:rsidRPr="00B817D9">
              <w:rPr>
                <w:rFonts w:ascii="Times New Roman" w:hAnsi="Times New Roman"/>
                <w:sz w:val="24"/>
              </w:rPr>
              <w:t>Zastosowanie odstępstwa określonego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4 rozporządzenia (UE) nr</w:t>
            </w:r>
            <w:r w:rsidR="00B817D9" w:rsidRPr="00B817D9">
              <w:rPr>
                <w:rFonts w:ascii="Times New Roman" w:hAnsi="Times New Roman"/>
                <w:sz w:val="24"/>
              </w:rPr>
              <w:t> </w:t>
            </w:r>
            <w:r w:rsidRPr="00B817D9">
              <w:rPr>
                <w:rFonts w:ascii="Times New Roman" w:hAnsi="Times New Roman"/>
                <w:sz w:val="24"/>
              </w:rPr>
              <w:t>575/2013 łącznie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4a do obliczenia kosztu odtworzenia kontraktów na instrumenty pochodne zawartych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kli</w:t>
            </w:r>
            <w:r w:rsidRPr="00B817D9">
              <w:rPr>
                <w:rFonts w:ascii="Times New Roman" w:hAnsi="Times New Roman"/>
                <w:sz w:val="24"/>
              </w:rPr>
              <w:t>entami,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kontrakty te rozlicza kwalifikujący się kontrahent centralny. Kwotę zgłasza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tosowaniem współczynnika alfa wynoszącego 1,4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274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71B5D857" w14:textId="00DE28E6" w:rsidR="00860608" w:rsidRPr="00B817D9" w:rsidRDefault="00C622B3"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Kwotę zgłoszoną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instytucje uwzględniają także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{0061;0010}, jak gdyby nie miało zastosowania żadne odstępstwo.</w:t>
            </w:r>
          </w:p>
        </w:tc>
      </w:tr>
      <w:tr w:rsidR="00B451A5" w:rsidRPr="00B817D9"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B817D9" w:rsidRDefault="00B451A5" w:rsidP="000B66BC">
            <w:pPr>
              <w:pStyle w:val="BodyText1"/>
              <w:spacing w:after="240"/>
              <w:rPr>
                <w:rFonts w:ascii="Times New Roman" w:hAnsi="Times New Roman"/>
                <w:bCs/>
                <w:sz w:val="24"/>
                <w:szCs w:val="24"/>
              </w:rPr>
            </w:pPr>
            <w:r w:rsidRPr="00B817D9">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2B5BEDE5" w:rsidR="00B451A5" w:rsidRPr="00B817D9" w:rsidRDefault="00B451A5"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 Wpływ kwalifikującego się zmiennego depozytu zabezpieczającego otrzymanego</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got</w:t>
            </w:r>
            <w:r w:rsidRPr="00B817D9">
              <w:rPr>
                <w:rFonts w:ascii="Times New Roman" w:hAnsi="Times New Roman"/>
                <w:b/>
                <w:sz w:val="24"/>
              </w:rPr>
              <w:t>ówce</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kom</w:t>
            </w:r>
            <w:r w:rsidRPr="00B817D9">
              <w:rPr>
                <w:rFonts w:ascii="Times New Roman" w:hAnsi="Times New Roman"/>
                <w:b/>
                <w:sz w:val="24"/>
              </w:rPr>
              <w:t>pensowanego wartością rynkową instrumentów pochodnych (metoda standardowa dotycząca CCR – koszt odtworzenia)</w:t>
            </w:r>
          </w:p>
          <w:p w14:paraId="1A368C0C" w14:textId="5BD1C171" w:rsidR="00B451A5" w:rsidRPr="00B817D9" w:rsidRDefault="00B451A5"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429c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p>
          <w:p w14:paraId="04F99B6B" w14:textId="3C3EF05E" w:rsidR="00B451A5" w:rsidRPr="00B817D9" w:rsidRDefault="00B451A5" w:rsidP="000B66BC">
            <w:pPr>
              <w:pStyle w:val="BodyText1"/>
              <w:spacing w:after="240" w:line="240" w:lineRule="auto"/>
              <w:rPr>
                <w:rFonts w:ascii="Times New Roman" w:hAnsi="Times New Roman"/>
                <w:bCs/>
                <w:sz w:val="24"/>
                <w:szCs w:val="24"/>
              </w:rPr>
            </w:pPr>
            <w:r w:rsidRPr="00B817D9">
              <w:rPr>
                <w:rFonts w:ascii="Times New Roman" w:hAnsi="Times New Roman"/>
                <w:sz w:val="24"/>
              </w:rPr>
              <w:t>Zmienny depozyt zabezpieczający otrzymywany</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got</w:t>
            </w:r>
            <w:r w:rsidRPr="00B817D9">
              <w:rPr>
                <w:rFonts w:ascii="Times New Roman" w:hAnsi="Times New Roman"/>
                <w:sz w:val="24"/>
              </w:rPr>
              <w:t>ówce od kontrahenta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kwa</w:t>
            </w:r>
            <w:r w:rsidRPr="00B817D9">
              <w:rPr>
                <w:rFonts w:ascii="Times New Roman" w:hAnsi="Times New Roman"/>
                <w:sz w:val="24"/>
              </w:rPr>
              <w:t>lifikujący się do skompensowania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ścią ekspozycji instrumentów pochodnych związaną</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kos</w:t>
            </w:r>
            <w:r w:rsidRPr="00B817D9">
              <w:rPr>
                <w:rFonts w:ascii="Times New Roman" w:hAnsi="Times New Roman"/>
                <w:sz w:val="24"/>
              </w:rPr>
              <w:t>ztem odtworzenia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 Kwotę zgłasza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tosowaniem współczynnika alfa wynoszącego 1,4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274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0D6BE08A" w14:textId="305EC3F3" w:rsidR="00B451A5" w:rsidRPr="00B817D9" w:rsidRDefault="00B451A5" w:rsidP="000B66BC">
            <w:pPr>
              <w:pStyle w:val="BodyText1"/>
              <w:spacing w:after="240" w:line="240" w:lineRule="auto"/>
              <w:rPr>
                <w:rFonts w:ascii="Times New Roman" w:hAnsi="Times New Roman"/>
                <w:bCs/>
                <w:sz w:val="24"/>
                <w:szCs w:val="24"/>
              </w:rPr>
            </w:pPr>
            <w:r w:rsidRPr="00B817D9">
              <w:rPr>
                <w:rFonts w:ascii="Times New Roman" w:hAnsi="Times New Roman"/>
                <w:sz w:val="24"/>
              </w:rPr>
              <w:t>Nie zgłasza się żadnych zmiennych depozytów zabezpieczających otrzymanych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got</w:t>
            </w:r>
            <w:r w:rsidRPr="00B817D9">
              <w:rPr>
                <w:rFonts w:ascii="Times New Roman" w:hAnsi="Times New Roman"/>
                <w:sz w:val="24"/>
              </w:rPr>
              <w:t>ówce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wyłączonego składnika rozliczanego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kon</w:t>
            </w:r>
            <w:r w:rsidRPr="00B817D9">
              <w:rPr>
                <w:rFonts w:ascii="Times New Roman" w:hAnsi="Times New Roman"/>
                <w:sz w:val="24"/>
              </w:rPr>
              <w:t>trahentem centralnym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g) rozporządzenia (UE) nr</w:t>
            </w:r>
            <w:r w:rsidR="00B817D9" w:rsidRPr="00B817D9">
              <w:rPr>
                <w:rFonts w:ascii="Times New Roman" w:hAnsi="Times New Roman"/>
                <w:sz w:val="24"/>
              </w:rPr>
              <w:t> </w:t>
            </w:r>
            <w:r w:rsidRPr="00B817D9">
              <w:rPr>
                <w:rFonts w:ascii="Times New Roman" w:hAnsi="Times New Roman"/>
                <w:sz w:val="24"/>
              </w:rPr>
              <w:t>575/2013.</w:t>
            </w:r>
          </w:p>
          <w:p w14:paraId="3C49A67A" w14:textId="3336A89A" w:rsidR="00B451A5" w:rsidRPr="00B817D9" w:rsidRDefault="00B451A5" w:rsidP="000B66BC">
            <w:pPr>
              <w:pStyle w:val="BodyText1"/>
              <w:spacing w:after="240" w:line="240" w:lineRule="auto"/>
              <w:rPr>
                <w:rFonts w:ascii="Times New Roman" w:hAnsi="Times New Roman"/>
                <w:b/>
                <w:bCs/>
                <w:sz w:val="24"/>
                <w:szCs w:val="24"/>
              </w:rPr>
            </w:pPr>
            <w:r w:rsidRPr="00B817D9">
              <w:rPr>
                <w:rFonts w:ascii="Times New Roman" w:hAnsi="Times New Roman"/>
                <w:sz w:val="24"/>
              </w:rPr>
              <w:lastRenderedPageBreak/>
              <w:t>Kwotę zgłoszoną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instytucje uwzględniają także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{0061;0010}, jak gdyby nie miało zastosowania żadne odliczenie zmiennego depozytu zabezpieczającego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got</w:t>
            </w:r>
            <w:r w:rsidRPr="00B817D9">
              <w:rPr>
                <w:rFonts w:ascii="Times New Roman" w:hAnsi="Times New Roman"/>
                <w:sz w:val="24"/>
              </w:rPr>
              <w:t>ówce.</w:t>
            </w:r>
          </w:p>
        </w:tc>
      </w:tr>
      <w:tr w:rsidR="00B451A5" w:rsidRPr="00B817D9"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B817D9" w:rsidDel="002D1CE8" w:rsidRDefault="00B451A5" w:rsidP="000B66BC">
            <w:pPr>
              <w:pStyle w:val="BodyText1"/>
              <w:spacing w:after="240"/>
              <w:rPr>
                <w:rFonts w:ascii="Times New Roman" w:hAnsi="Times New Roman"/>
                <w:bCs/>
                <w:sz w:val="24"/>
                <w:szCs w:val="24"/>
              </w:rPr>
            </w:pPr>
            <w:r w:rsidRPr="00B817D9">
              <w:rPr>
                <w:rFonts w:ascii="Times New Roman" w:hAnsi="Times New Roman"/>
                <w:sz w:val="24"/>
              </w:rPr>
              <w:lastRenderedPageBreak/>
              <w:t>{0081;0010}</w:t>
            </w:r>
          </w:p>
        </w:tc>
        <w:tc>
          <w:tcPr>
            <w:tcW w:w="7566" w:type="dxa"/>
            <w:tcBorders>
              <w:top w:val="single" w:sz="4" w:space="0" w:color="auto"/>
              <w:left w:val="single" w:sz="4" w:space="0" w:color="auto"/>
              <w:bottom w:val="single" w:sz="4" w:space="0" w:color="auto"/>
              <w:right w:val="single" w:sz="4" w:space="0" w:color="auto"/>
            </w:tcBorders>
          </w:tcPr>
          <w:p w14:paraId="1F4EB90B" w14:textId="0E934198" w:rsidR="00B451A5" w:rsidRPr="00B817D9" w:rsidRDefault="00B451A5"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 Wpływ wyłączonych ekspozycji</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transakcji rozliczanych za pośrednictwem klienta</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składnika rozliczanego</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kon</w:t>
            </w:r>
            <w:r w:rsidRPr="00B817D9">
              <w:rPr>
                <w:rFonts w:ascii="Times New Roman" w:hAnsi="Times New Roman"/>
                <w:b/>
                <w:sz w:val="24"/>
              </w:rPr>
              <w:t>trahentem centralnym (metoda standardowa dotycząca CCR – koszt odtworzenia)</w:t>
            </w:r>
          </w:p>
          <w:p w14:paraId="4B3A4644" w14:textId="794E874D" w:rsidR="00B451A5" w:rsidRPr="00B817D9" w:rsidRDefault="00B451A5"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g) rozporządzenia (UE) nr</w:t>
            </w:r>
            <w:r w:rsidR="00B817D9" w:rsidRPr="00B817D9">
              <w:rPr>
                <w:rFonts w:ascii="Times New Roman" w:hAnsi="Times New Roman"/>
                <w:sz w:val="24"/>
              </w:rPr>
              <w:t> </w:t>
            </w:r>
            <w:r w:rsidRPr="00B817D9">
              <w:rPr>
                <w:rFonts w:ascii="Times New Roman" w:hAnsi="Times New Roman"/>
                <w:sz w:val="24"/>
              </w:rPr>
              <w:t>575/2013</w:t>
            </w:r>
          </w:p>
          <w:p w14:paraId="2F8AB13D" w14:textId="1EDA5FD9" w:rsidR="00B451A5" w:rsidRPr="00B817D9" w:rsidRDefault="00B451A5" w:rsidP="000B66BC">
            <w:pPr>
              <w:pStyle w:val="BodyText1"/>
              <w:spacing w:after="240" w:line="240" w:lineRule="auto"/>
              <w:rPr>
                <w:rFonts w:ascii="Times New Roman" w:hAnsi="Times New Roman"/>
                <w:bCs/>
                <w:sz w:val="24"/>
                <w:szCs w:val="24"/>
              </w:rPr>
            </w:pPr>
            <w:r w:rsidRPr="00B817D9">
              <w:rPr>
                <w:rFonts w:ascii="Times New Roman" w:hAnsi="Times New Roman"/>
                <w:sz w:val="24"/>
              </w:rPr>
              <w:t>Odpowiadająca kosztowi odtworzenia część wyłączonych ekspozycji wobec kwalifikującego się kontrahenta centralnego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rozliczanych za pośrednictwem klienta transakcji na instrumentach pochodnych, pod warunkiem że pozycje te spełniają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306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Kwotę tę należy podać przed uwzględnieniem zmiennego depozytu zabezpieczającego otrzymanego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got</w:t>
            </w:r>
            <w:r w:rsidRPr="00B817D9">
              <w:rPr>
                <w:rFonts w:ascii="Times New Roman" w:hAnsi="Times New Roman"/>
                <w:sz w:val="24"/>
              </w:rPr>
              <w:t>ówce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tego składnika. Kwotę zgłasza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tosowaniem współczynnika alfa wynoszącego 1,4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274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3D70C614" w14:textId="1712784C" w:rsidR="00B451A5" w:rsidRPr="00B817D9" w:rsidDel="002D1CE8" w:rsidRDefault="00B451A5" w:rsidP="000B66BC">
            <w:pPr>
              <w:pStyle w:val="BodyText1"/>
              <w:spacing w:after="240" w:line="240" w:lineRule="auto"/>
              <w:rPr>
                <w:rFonts w:ascii="Times New Roman" w:hAnsi="Times New Roman"/>
                <w:b/>
                <w:bCs/>
                <w:sz w:val="24"/>
                <w:szCs w:val="24"/>
              </w:rPr>
            </w:pPr>
            <w:r w:rsidRPr="00B817D9">
              <w:rPr>
                <w:rFonts w:ascii="Times New Roman" w:hAnsi="Times New Roman"/>
                <w:sz w:val="24"/>
              </w:rPr>
              <w:t>Kwotę zgłoszoną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instytucje uwzględniają także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{0061;0010}, jak gdyby nie miało zastosowania żadne wyłączenie.</w:t>
            </w:r>
          </w:p>
        </w:tc>
      </w:tr>
      <w:tr w:rsidR="00BE4B9E" w:rsidRPr="00B817D9" w14:paraId="21C5C5EE" w14:textId="77777777" w:rsidTr="008979D2">
        <w:trPr>
          <w:trHeight w:val="304"/>
        </w:trPr>
        <w:tc>
          <w:tcPr>
            <w:tcW w:w="1555" w:type="dxa"/>
            <w:gridSpan w:val="2"/>
          </w:tcPr>
          <w:p w14:paraId="12F2B1DD" w14:textId="54C860E8" w:rsidR="00BE4B9E" w:rsidRPr="00B817D9" w:rsidRDefault="00BE4B9E" w:rsidP="000B66BC">
            <w:pPr>
              <w:pStyle w:val="BodyText1"/>
              <w:spacing w:after="240"/>
              <w:rPr>
                <w:rFonts w:ascii="Times New Roman" w:hAnsi="Times New Roman"/>
                <w:bCs/>
                <w:sz w:val="24"/>
                <w:szCs w:val="24"/>
              </w:rPr>
            </w:pPr>
            <w:r w:rsidRPr="00B817D9">
              <w:rPr>
                <w:rFonts w:ascii="Times New Roman" w:hAnsi="Times New Roman"/>
                <w:sz w:val="24"/>
              </w:rPr>
              <w:t>{0091;0010}</w:t>
            </w:r>
          </w:p>
        </w:tc>
        <w:tc>
          <w:tcPr>
            <w:tcW w:w="7566" w:type="dxa"/>
          </w:tcPr>
          <w:p w14:paraId="039E3624" w14:textId="365C8549" w:rsidR="00BE4B9E" w:rsidRPr="00B817D9" w:rsidRDefault="00BE4B9E"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Instrumenty pochodne: wkład</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 xml:space="preserve">ułu potencjalnej przyszłej ekspozycji na podstawie metody standardowej dotyczącej CCR (mnożnik na poziomie 1) </w:t>
            </w:r>
          </w:p>
          <w:p w14:paraId="11FEB8DF" w14:textId="2ED91088" w:rsidR="00BE4B9E" w:rsidRPr="00B817D9" w:rsidRDefault="00BE4B9E"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429c ust.</w:t>
            </w:r>
            <w:r w:rsidR="00B817D9" w:rsidRPr="00B817D9">
              <w:rPr>
                <w:rFonts w:ascii="Times New Roman" w:hAnsi="Times New Roman"/>
                <w:sz w:val="24"/>
              </w:rPr>
              <w:t> </w:t>
            </w:r>
            <w:r w:rsidRPr="00B817D9">
              <w:rPr>
                <w:rFonts w:ascii="Times New Roman" w:hAnsi="Times New Roman"/>
                <w:sz w:val="24"/>
              </w:rPr>
              <w:t>5 rozporządzenia (UE) nr</w:t>
            </w:r>
            <w:r w:rsidR="00B817D9" w:rsidRPr="00B817D9">
              <w:rPr>
                <w:rFonts w:ascii="Times New Roman" w:hAnsi="Times New Roman"/>
                <w:sz w:val="24"/>
              </w:rPr>
              <w:t> </w:t>
            </w:r>
            <w:r w:rsidRPr="00B817D9">
              <w:rPr>
                <w:rFonts w:ascii="Times New Roman" w:hAnsi="Times New Roman"/>
                <w:sz w:val="24"/>
              </w:rPr>
              <w:t>575/2013</w:t>
            </w:r>
          </w:p>
          <w:p w14:paraId="77480A73" w14:textId="129B340E" w:rsidR="00BE4B9E" w:rsidRPr="00B817D9" w:rsidRDefault="00BE4B9E" w:rsidP="000B66BC">
            <w:pPr>
              <w:pStyle w:val="BodyText1"/>
              <w:spacing w:after="240" w:line="240" w:lineRule="auto"/>
              <w:rPr>
                <w:rFonts w:ascii="Times New Roman" w:hAnsi="Times New Roman"/>
                <w:b/>
                <w:bCs/>
                <w:sz w:val="24"/>
                <w:szCs w:val="24"/>
              </w:rPr>
            </w:pPr>
            <w:r w:rsidRPr="00B817D9">
              <w:rPr>
                <w:rFonts w:ascii="Times New Roman" w:hAnsi="Times New Roman"/>
                <w:sz w:val="24"/>
              </w:rPr>
              <w:t>Potencjalna przyszła ekspozycja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278 rozporządzenia (UE) nr</w:t>
            </w:r>
            <w:r w:rsidR="00B817D9" w:rsidRPr="00B817D9">
              <w:rPr>
                <w:rFonts w:ascii="Times New Roman" w:hAnsi="Times New Roman"/>
                <w:sz w:val="24"/>
              </w:rPr>
              <w:t> </w:t>
            </w:r>
            <w:r w:rsidRPr="00B817D9">
              <w:rPr>
                <w:rFonts w:ascii="Times New Roman" w:hAnsi="Times New Roman"/>
                <w:sz w:val="24"/>
              </w:rPr>
              <w:t>575/2013 przy założeniu, że mnożnik wynosi 1, tj. bez zastosowania odstępstwa dotyczącego kontraktów zawartych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kli</w:t>
            </w:r>
            <w:r w:rsidRPr="00B817D9">
              <w:rPr>
                <w:rFonts w:ascii="Times New Roman" w:hAnsi="Times New Roman"/>
                <w:sz w:val="24"/>
              </w:rPr>
              <w:t>entami,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których kontrakty te rozlicza kwalifikujący się kontrahent centralny,</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rym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5 rozporządzenia (UE) nr</w:t>
            </w:r>
            <w:r w:rsidR="00B817D9" w:rsidRPr="00B817D9">
              <w:rPr>
                <w:rFonts w:ascii="Times New Roman" w:hAnsi="Times New Roman"/>
                <w:sz w:val="24"/>
              </w:rPr>
              <w:t> </w:t>
            </w:r>
            <w:r w:rsidRPr="00B817D9">
              <w:rPr>
                <w:rFonts w:ascii="Times New Roman" w:hAnsi="Times New Roman"/>
                <w:sz w:val="24"/>
              </w:rPr>
              <w:t>575/2013. Kwotę zgłasza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tosowaniem współczynnika alfa wynoszącego 1,4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274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tc>
      </w:tr>
      <w:tr w:rsidR="00BE4B9E" w:rsidRPr="00B817D9" w14:paraId="1F0CF2B9" w14:textId="77777777" w:rsidTr="008979D2">
        <w:trPr>
          <w:trHeight w:val="304"/>
        </w:trPr>
        <w:tc>
          <w:tcPr>
            <w:tcW w:w="1555" w:type="dxa"/>
            <w:gridSpan w:val="2"/>
          </w:tcPr>
          <w:p w14:paraId="3B470185" w14:textId="419934C4" w:rsidR="00BE4B9E" w:rsidRPr="00B817D9" w:rsidRDefault="00BE4B9E" w:rsidP="000B66BC">
            <w:pPr>
              <w:pStyle w:val="BodyText1"/>
              <w:spacing w:after="240"/>
              <w:rPr>
                <w:rFonts w:ascii="Times New Roman" w:hAnsi="Times New Roman"/>
                <w:bCs/>
                <w:sz w:val="24"/>
                <w:szCs w:val="24"/>
              </w:rPr>
            </w:pPr>
            <w:r w:rsidRPr="00B817D9">
              <w:rPr>
                <w:rFonts w:ascii="Times New Roman" w:hAnsi="Times New Roman"/>
                <w:sz w:val="24"/>
              </w:rPr>
              <w:t>{0092;0010}</w:t>
            </w:r>
          </w:p>
        </w:tc>
        <w:tc>
          <w:tcPr>
            <w:tcW w:w="7566" w:type="dxa"/>
          </w:tcPr>
          <w:p w14:paraId="2E121ECA" w14:textId="57FCC4E9" w:rsidR="00BE4B9E" w:rsidRPr="00B817D9" w:rsidRDefault="00BE4B9E"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 Wpływ niższego mnożnika</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rozliczanych za pośrednictwem klienta transakcji zawieranych</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kwa</w:t>
            </w:r>
            <w:r w:rsidRPr="00B817D9">
              <w:rPr>
                <w:rFonts w:ascii="Times New Roman" w:hAnsi="Times New Roman"/>
                <w:b/>
                <w:sz w:val="24"/>
              </w:rPr>
              <w:t>lifikującym się kontrahentem centralnym na wkład</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potencjalnej przyszłej ekspozycji (metoda standardowa dotycząca CCR – potencjalna przyszła ekspozycja)</w:t>
            </w:r>
          </w:p>
          <w:p w14:paraId="51309425" w14:textId="67C6B877" w:rsidR="00BE4B9E" w:rsidRPr="00B817D9" w:rsidRDefault="00BE4B9E"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429c ust.</w:t>
            </w:r>
            <w:r w:rsidR="00B817D9" w:rsidRPr="00B817D9">
              <w:rPr>
                <w:rFonts w:ascii="Times New Roman" w:hAnsi="Times New Roman"/>
                <w:sz w:val="24"/>
              </w:rPr>
              <w:t> </w:t>
            </w:r>
            <w:r w:rsidRPr="00B817D9">
              <w:rPr>
                <w:rFonts w:ascii="Times New Roman" w:hAnsi="Times New Roman"/>
                <w:sz w:val="24"/>
              </w:rPr>
              <w:t>5 rozporządzenia (UE) nr</w:t>
            </w:r>
            <w:r w:rsidR="00B817D9" w:rsidRPr="00B817D9">
              <w:rPr>
                <w:rFonts w:ascii="Times New Roman" w:hAnsi="Times New Roman"/>
                <w:sz w:val="24"/>
              </w:rPr>
              <w:t> </w:t>
            </w:r>
            <w:r w:rsidRPr="00B817D9">
              <w:rPr>
                <w:rFonts w:ascii="Times New Roman" w:hAnsi="Times New Roman"/>
                <w:sz w:val="24"/>
              </w:rPr>
              <w:t>575/2013</w:t>
            </w:r>
          </w:p>
          <w:p w14:paraId="36AD83FD" w14:textId="47DE3E54" w:rsidR="00BE4B9E" w:rsidRPr="00B817D9" w:rsidRDefault="00334535" w:rsidP="000B66BC">
            <w:pPr>
              <w:pStyle w:val="BodyText1"/>
              <w:spacing w:after="240" w:line="240" w:lineRule="auto"/>
              <w:rPr>
                <w:rFonts w:ascii="Times New Roman" w:hAnsi="Times New Roman"/>
                <w:bCs/>
                <w:sz w:val="24"/>
                <w:szCs w:val="24"/>
              </w:rPr>
            </w:pPr>
            <w:r w:rsidRPr="00B817D9">
              <w:rPr>
                <w:rFonts w:ascii="Times New Roman" w:hAnsi="Times New Roman"/>
                <w:sz w:val="24"/>
              </w:rPr>
              <w:t>Zastosowanie odstępstwa określonego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5 rozporządzenia (UE) nr</w:t>
            </w:r>
            <w:r w:rsidR="00B817D9" w:rsidRPr="00B817D9">
              <w:rPr>
                <w:rFonts w:ascii="Times New Roman" w:hAnsi="Times New Roman"/>
                <w:sz w:val="24"/>
              </w:rPr>
              <w:t> </w:t>
            </w:r>
            <w:r w:rsidRPr="00B817D9">
              <w:rPr>
                <w:rFonts w:ascii="Times New Roman" w:hAnsi="Times New Roman"/>
                <w:sz w:val="24"/>
              </w:rPr>
              <w:t>575/2013 do obliczenia potencjalnej przyszłej ekspozycji na kontrakty na instrumenty pochodne zawarte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kli</w:t>
            </w:r>
            <w:r w:rsidRPr="00B817D9">
              <w:rPr>
                <w:rFonts w:ascii="Times New Roman" w:hAnsi="Times New Roman"/>
                <w:sz w:val="24"/>
              </w:rPr>
              <w:t>entami,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 xml:space="preserve">ypadku których kontrakty te rozlicza kwalifikujący się kontrahent centralny. Kwotę </w:t>
            </w:r>
            <w:r w:rsidRPr="00B817D9">
              <w:rPr>
                <w:rFonts w:ascii="Times New Roman" w:hAnsi="Times New Roman"/>
                <w:sz w:val="24"/>
              </w:rPr>
              <w:lastRenderedPageBreak/>
              <w:t>zgłasza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tosowaniem współczynnika alfa wynoszącego 1,4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274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69C754CC" w14:textId="51BBF0B7" w:rsidR="00334535" w:rsidRPr="00B817D9" w:rsidRDefault="00C622B3" w:rsidP="000B66BC">
            <w:pPr>
              <w:pStyle w:val="BodyText1"/>
              <w:spacing w:after="240" w:line="240" w:lineRule="auto"/>
              <w:rPr>
                <w:rFonts w:ascii="Times New Roman" w:hAnsi="Times New Roman"/>
                <w:b/>
                <w:bCs/>
                <w:sz w:val="24"/>
                <w:szCs w:val="24"/>
              </w:rPr>
            </w:pPr>
            <w:r w:rsidRPr="00B817D9">
              <w:rPr>
                <w:rFonts w:ascii="Times New Roman" w:hAnsi="Times New Roman"/>
                <w:sz w:val="24"/>
              </w:rPr>
              <w:t>Kwotę zgłoszoną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instytucje uwzględniają także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{0091;0010}, jak gdyby nie miało zastosowania żadne odstępstwo.</w:t>
            </w:r>
          </w:p>
        </w:tc>
      </w:tr>
      <w:tr w:rsidR="00721D6C" w:rsidRPr="00B817D9" w14:paraId="337DFBE3" w14:textId="77777777" w:rsidTr="008979D2">
        <w:trPr>
          <w:trHeight w:val="304"/>
        </w:trPr>
        <w:tc>
          <w:tcPr>
            <w:tcW w:w="1555" w:type="dxa"/>
            <w:gridSpan w:val="2"/>
          </w:tcPr>
          <w:p w14:paraId="4EC86A2A" w14:textId="23F426EB" w:rsidR="00721D6C" w:rsidRPr="00B817D9" w:rsidRDefault="00721D6C" w:rsidP="000B66BC">
            <w:pPr>
              <w:pStyle w:val="BodyText1"/>
              <w:spacing w:after="240"/>
              <w:rPr>
                <w:rFonts w:ascii="Times New Roman" w:hAnsi="Times New Roman"/>
                <w:bCs/>
                <w:sz w:val="24"/>
                <w:szCs w:val="24"/>
              </w:rPr>
            </w:pPr>
            <w:r w:rsidRPr="00B817D9">
              <w:rPr>
                <w:rFonts w:ascii="Times New Roman" w:hAnsi="Times New Roman"/>
                <w:sz w:val="24"/>
              </w:rPr>
              <w:lastRenderedPageBreak/>
              <w:t>{0093;0010}</w:t>
            </w:r>
          </w:p>
        </w:tc>
        <w:tc>
          <w:tcPr>
            <w:tcW w:w="7566" w:type="dxa"/>
          </w:tcPr>
          <w:p w14:paraId="799DA79E" w14:textId="1CC688AD" w:rsidR="00721D6C" w:rsidRPr="00B817D9" w:rsidRDefault="00721D6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 Wpływ wyłączonych ekspozycji</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transakcji rozliczanych za pośrednictwem klienta</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składnika rozliczanego</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kon</w:t>
            </w:r>
            <w:r w:rsidRPr="00B817D9">
              <w:rPr>
                <w:rFonts w:ascii="Times New Roman" w:hAnsi="Times New Roman"/>
                <w:b/>
                <w:sz w:val="24"/>
              </w:rPr>
              <w:t>trahentem centralnym (metoda standardowa dotycząca CCR – potencjalna przyszła ekspozycja)</w:t>
            </w:r>
          </w:p>
          <w:p w14:paraId="638E19CF" w14:textId="6E83BB7E" w:rsidR="00721D6C" w:rsidRPr="00B817D9" w:rsidRDefault="002F3BA4"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g) rozporządzenia (UE) nr</w:t>
            </w:r>
            <w:r w:rsidR="00B817D9" w:rsidRPr="00B817D9">
              <w:rPr>
                <w:rFonts w:ascii="Times New Roman" w:hAnsi="Times New Roman"/>
                <w:sz w:val="24"/>
              </w:rPr>
              <w:t> </w:t>
            </w:r>
            <w:r w:rsidRPr="00B817D9">
              <w:rPr>
                <w:rFonts w:ascii="Times New Roman" w:hAnsi="Times New Roman"/>
                <w:sz w:val="24"/>
              </w:rPr>
              <w:t>575/2013</w:t>
            </w:r>
          </w:p>
          <w:p w14:paraId="3C911695" w14:textId="34320949" w:rsidR="00721D6C" w:rsidRPr="00B817D9" w:rsidRDefault="00721D6C" w:rsidP="000B66BC">
            <w:pPr>
              <w:pStyle w:val="BodyText1"/>
              <w:spacing w:after="240" w:line="240" w:lineRule="auto"/>
              <w:rPr>
                <w:rFonts w:ascii="Times New Roman" w:hAnsi="Times New Roman"/>
                <w:bCs/>
                <w:sz w:val="24"/>
                <w:szCs w:val="24"/>
              </w:rPr>
            </w:pPr>
            <w:r w:rsidRPr="00B817D9">
              <w:rPr>
                <w:rFonts w:ascii="Times New Roman" w:hAnsi="Times New Roman"/>
                <w:sz w:val="24"/>
              </w:rPr>
              <w:t>Odpowiadająca potencjalnej przyszłej ekspozycji część wyłączonych ekspozycji wobec kwalifikującego się kontrahenta centralnego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rozliczanych za pośrednictwem klienta transakcji na instrumentach pochodnych, pod warunkiem że pozycje te spełniają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306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Kwotę zgłasza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tosowaniem współczynnika alfa wynoszącego 1,4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274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5DC396D3" w14:textId="00BEAF9B" w:rsidR="00721D6C" w:rsidRPr="00B817D9" w:rsidRDefault="00721D6C" w:rsidP="000B66BC">
            <w:pPr>
              <w:pStyle w:val="BodyText1"/>
              <w:spacing w:after="240" w:line="240" w:lineRule="auto"/>
              <w:rPr>
                <w:rFonts w:ascii="Times New Roman" w:hAnsi="Times New Roman"/>
                <w:b/>
                <w:bCs/>
                <w:sz w:val="24"/>
                <w:szCs w:val="24"/>
              </w:rPr>
            </w:pPr>
            <w:r w:rsidRPr="00B817D9">
              <w:rPr>
                <w:rFonts w:ascii="Times New Roman" w:hAnsi="Times New Roman"/>
                <w:sz w:val="24"/>
              </w:rPr>
              <w:t>Kwotę zgłoszoną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instytucje uwzględniają także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{0091;0010}, jak gdyby nie miało zastosowania żadne wyłączenie.</w:t>
            </w:r>
          </w:p>
        </w:tc>
      </w:tr>
      <w:tr w:rsidR="001D7778" w:rsidRPr="00B817D9"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B817D9" w:rsidRDefault="001D7778" w:rsidP="000B66BC">
            <w:pPr>
              <w:pStyle w:val="BodyText1"/>
              <w:spacing w:after="240"/>
              <w:rPr>
                <w:rFonts w:ascii="Times New Roman" w:hAnsi="Times New Roman"/>
                <w:bCs/>
                <w:sz w:val="24"/>
                <w:szCs w:val="24"/>
              </w:rPr>
            </w:pPr>
            <w:r w:rsidRPr="00B817D9">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0901BE9C" w:rsidR="001D7778" w:rsidRPr="00B817D9" w:rsidRDefault="001D7778"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Odstępstwo</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instrumentów pochodnych: wkład</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kos</w:t>
            </w:r>
            <w:r w:rsidRPr="00B817D9">
              <w:rPr>
                <w:rFonts w:ascii="Times New Roman" w:hAnsi="Times New Roman"/>
                <w:b/>
                <w:sz w:val="24"/>
              </w:rPr>
              <w:t xml:space="preserve">zt odtworzenia na podstawie uproszczonej metody standardowej </w:t>
            </w:r>
          </w:p>
          <w:p w14:paraId="729E4C3C" w14:textId="2C04F2A0" w:rsidR="001D7778" w:rsidRPr="00B817D9" w:rsidRDefault="001D7778"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429c ust.</w:t>
            </w:r>
            <w:r w:rsidR="00B817D9" w:rsidRPr="00B817D9">
              <w:rPr>
                <w:rFonts w:ascii="Times New Roman" w:hAnsi="Times New Roman"/>
                <w:sz w:val="24"/>
              </w:rPr>
              <w:t> </w:t>
            </w:r>
            <w:r w:rsidRPr="00B817D9">
              <w:rPr>
                <w:rFonts w:ascii="Times New Roman" w:hAnsi="Times New Roman"/>
                <w:sz w:val="24"/>
              </w:rPr>
              <w:t>6</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281 rozporządzenia (UE) nr</w:t>
            </w:r>
            <w:r w:rsidR="00B817D9" w:rsidRPr="00B817D9">
              <w:rPr>
                <w:rFonts w:ascii="Times New Roman" w:hAnsi="Times New Roman"/>
                <w:sz w:val="24"/>
              </w:rPr>
              <w:t> </w:t>
            </w:r>
            <w:r w:rsidRPr="00B817D9">
              <w:rPr>
                <w:rFonts w:ascii="Times New Roman" w:hAnsi="Times New Roman"/>
                <w:sz w:val="24"/>
              </w:rPr>
              <w:t>575/2013</w:t>
            </w:r>
          </w:p>
          <w:p w14:paraId="4582CAFD" w14:textId="4A4DA5A5" w:rsidR="001D7778" w:rsidRPr="00B817D9" w:rsidRDefault="001D7778" w:rsidP="000B66BC">
            <w:pPr>
              <w:pStyle w:val="BodyText1"/>
              <w:spacing w:after="240" w:line="240" w:lineRule="auto"/>
              <w:rPr>
                <w:rFonts w:ascii="Times New Roman" w:hAnsi="Times New Roman"/>
                <w:bCs/>
                <w:sz w:val="24"/>
                <w:szCs w:val="24"/>
              </w:rPr>
            </w:pPr>
            <w:r w:rsidRPr="00B817D9">
              <w:rPr>
                <w:rFonts w:ascii="Times New Roman" w:hAnsi="Times New Roman"/>
                <w:sz w:val="24"/>
              </w:rPr>
              <w:t>Komórka ta przedstawia miarę ekspozycji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umów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 </w:t>
            </w:r>
            <w:r w:rsidRPr="00B817D9">
              <w:rPr>
                <w:rFonts w:ascii="Times New Roman" w:hAnsi="Times New Roman"/>
                <w:sz w:val="24"/>
              </w:rPr>
              <w:t>1</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2</w:t>
            </w:r>
            <w:r w:rsidRPr="00B817D9">
              <w:rPr>
                <w:rFonts w:ascii="Times New Roman" w:hAnsi="Times New Roman"/>
                <w:sz w:val="24"/>
              </w:rPr>
              <w:t xml:space="preserve"> załącznika II do rozporządzenia (UE) nr</w:t>
            </w:r>
            <w:r w:rsidR="00B817D9" w:rsidRPr="00B817D9">
              <w:rPr>
                <w:rFonts w:ascii="Times New Roman" w:hAnsi="Times New Roman"/>
                <w:sz w:val="24"/>
              </w:rPr>
              <w:t> </w:t>
            </w:r>
            <w:r w:rsidRPr="00B817D9">
              <w:rPr>
                <w:rFonts w:ascii="Times New Roman" w:hAnsi="Times New Roman"/>
                <w:sz w:val="24"/>
              </w:rPr>
              <w:t>575/2013 obliczoną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upr</w:t>
            </w:r>
            <w:r w:rsidRPr="00B817D9">
              <w:rPr>
                <w:rFonts w:ascii="Times New Roman" w:hAnsi="Times New Roman"/>
                <w:sz w:val="24"/>
              </w:rPr>
              <w:t>oszczoną metodą standardową określoną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281 rozporządzenia (UE) nr</w:t>
            </w:r>
            <w:r w:rsidR="00B817D9" w:rsidRPr="00B817D9">
              <w:rPr>
                <w:rFonts w:ascii="Times New Roman" w:hAnsi="Times New Roman"/>
                <w:sz w:val="24"/>
              </w:rPr>
              <w:t> </w:t>
            </w:r>
            <w:r w:rsidRPr="00B817D9">
              <w:rPr>
                <w:rFonts w:ascii="Times New Roman" w:hAnsi="Times New Roman"/>
                <w:sz w:val="24"/>
              </w:rPr>
              <w:t>575/2013. Kwotę zgłasza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tosowaniem współczynnika alfa wynoszącego 1,4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274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6AF43C3C" w14:textId="525E2D8F" w:rsidR="001D7778" w:rsidRPr="00B817D9" w:rsidRDefault="001D7778"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które stosują uproszczoną metodę standardową, nie zmniejszają miary ekspozycji całkowitej</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kwo</w:t>
            </w:r>
            <w:r w:rsidRPr="00B817D9">
              <w:rPr>
                <w:rFonts w:ascii="Times New Roman" w:hAnsi="Times New Roman"/>
                <w:sz w:val="24"/>
              </w:rPr>
              <w:t>tę depozytu zabezpieczającego otrzymanego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6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wyjątek dotyczący kontraktów na instrumenty pochodne zawartych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kli</w:t>
            </w:r>
            <w:r w:rsidRPr="00B817D9">
              <w:rPr>
                <w:rFonts w:ascii="Times New Roman" w:hAnsi="Times New Roman"/>
                <w:sz w:val="24"/>
              </w:rPr>
              <w:t>entami,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których kontrakty te rozlicza kwalifikujący się kontrahent centralny określony</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4 rozporządzenia (UE) nr</w:t>
            </w:r>
            <w:r w:rsidR="00B817D9" w:rsidRPr="00B817D9">
              <w:rPr>
                <w:rFonts w:ascii="Times New Roman" w:hAnsi="Times New Roman"/>
                <w:sz w:val="24"/>
              </w:rPr>
              <w:t> </w:t>
            </w:r>
            <w:r w:rsidRPr="00B817D9">
              <w:rPr>
                <w:rFonts w:ascii="Times New Roman" w:hAnsi="Times New Roman"/>
                <w:sz w:val="24"/>
              </w:rPr>
              <w:t>575/2013, nie ma zastosowania.</w:t>
            </w:r>
          </w:p>
          <w:p w14:paraId="41A54C94" w14:textId="2475841E" w:rsidR="001D7778" w:rsidRPr="00B817D9" w:rsidRDefault="001D7778"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nie uwzględniają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umów wycenianych przy zastosowaniu metody standardowej dotyczącej CCR lub metody wyceny pierwotnej ekspozycji.</w:t>
            </w:r>
          </w:p>
        </w:tc>
      </w:tr>
      <w:tr w:rsidR="00CB48CC" w:rsidRPr="00B817D9" w14:paraId="177E0E57" w14:textId="77777777" w:rsidTr="008979D2">
        <w:trPr>
          <w:trHeight w:val="304"/>
        </w:trPr>
        <w:tc>
          <w:tcPr>
            <w:tcW w:w="1555" w:type="dxa"/>
            <w:gridSpan w:val="2"/>
          </w:tcPr>
          <w:p w14:paraId="1A21B8B9" w14:textId="3A3A59D4" w:rsidR="00CB48CC" w:rsidRPr="00B817D9" w:rsidRDefault="001F3E84" w:rsidP="000B66BC">
            <w:pPr>
              <w:pStyle w:val="BodyText1"/>
              <w:spacing w:after="240"/>
              <w:rPr>
                <w:rFonts w:ascii="Times New Roman" w:hAnsi="Times New Roman"/>
                <w:bCs/>
                <w:sz w:val="24"/>
                <w:szCs w:val="24"/>
              </w:rPr>
            </w:pPr>
            <w:r w:rsidRPr="00B817D9">
              <w:rPr>
                <w:rFonts w:ascii="Times New Roman" w:hAnsi="Times New Roman"/>
                <w:sz w:val="24"/>
              </w:rPr>
              <w:t>{0102;0010}</w:t>
            </w:r>
          </w:p>
        </w:tc>
        <w:tc>
          <w:tcPr>
            <w:tcW w:w="7566" w:type="dxa"/>
          </w:tcPr>
          <w:p w14:paraId="1AB84BA7" w14:textId="04D52235"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 Wpływ wyłączonych ekspozycji</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transakcji rozliczanych za pośrednictwem klienta</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składnika rozliczanego</w:t>
            </w:r>
            <w:r w:rsidR="00B817D9" w:rsidRPr="00B817D9">
              <w:rPr>
                <w:rFonts w:ascii="Times New Roman" w:hAnsi="Times New Roman"/>
                <w:b/>
                <w:sz w:val="24"/>
              </w:rPr>
              <w:t xml:space="preserve"> </w:t>
            </w:r>
            <w:r w:rsidR="00B817D9" w:rsidRPr="00B817D9">
              <w:rPr>
                <w:rFonts w:ascii="Times New Roman" w:hAnsi="Times New Roman"/>
                <w:b/>
                <w:sz w:val="24"/>
              </w:rPr>
              <w:lastRenderedPageBreak/>
              <w:t>z</w:t>
            </w:r>
            <w:r w:rsidR="00B817D9">
              <w:rPr>
                <w:rFonts w:ascii="Times New Roman" w:hAnsi="Times New Roman"/>
                <w:b/>
                <w:sz w:val="24"/>
              </w:rPr>
              <w:t> </w:t>
            </w:r>
            <w:r w:rsidR="00B817D9" w:rsidRPr="00B817D9">
              <w:rPr>
                <w:rFonts w:ascii="Times New Roman" w:hAnsi="Times New Roman"/>
                <w:b/>
                <w:sz w:val="24"/>
              </w:rPr>
              <w:t>kon</w:t>
            </w:r>
            <w:r w:rsidRPr="00B817D9">
              <w:rPr>
                <w:rFonts w:ascii="Times New Roman" w:hAnsi="Times New Roman"/>
                <w:b/>
                <w:sz w:val="24"/>
              </w:rPr>
              <w:t>trahentem centralnym (uproszczona metoda standardowa – koszt odtworzenia)</w:t>
            </w:r>
          </w:p>
          <w:p w14:paraId="145D251C" w14:textId="1C9E13C2" w:rsidR="00CB48CC" w:rsidRPr="00B817D9" w:rsidRDefault="00803EDD"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g) rozporządzenia (UE) nr</w:t>
            </w:r>
            <w:r w:rsidR="00B817D9" w:rsidRPr="00B817D9">
              <w:rPr>
                <w:rFonts w:ascii="Times New Roman" w:hAnsi="Times New Roman"/>
                <w:sz w:val="24"/>
              </w:rPr>
              <w:t> </w:t>
            </w:r>
            <w:r w:rsidRPr="00B817D9">
              <w:rPr>
                <w:rFonts w:ascii="Times New Roman" w:hAnsi="Times New Roman"/>
                <w:sz w:val="24"/>
              </w:rPr>
              <w:t>575/2013</w:t>
            </w:r>
          </w:p>
          <w:p w14:paraId="577C5D50" w14:textId="4A33AF1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Odpowiadająca kosztowi odtworzenia część wyłączonych ekspozycji wobec kwalifikującego się kontrahenta centralnego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rozliczanych za pośrednictwem klienta transakcji na instrumentach pochodnych, pod warunkiem że pozycje te spełniają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306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Kwotę tę należy podać przed uwzględnieniem zmiennego depozytu zabezpieczającego otrzymanego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got</w:t>
            </w:r>
            <w:r w:rsidRPr="00B817D9">
              <w:rPr>
                <w:rFonts w:ascii="Times New Roman" w:hAnsi="Times New Roman"/>
                <w:sz w:val="24"/>
              </w:rPr>
              <w:t>ówce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tego składnika. Kwotę zgłasza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tosowaniem współczynnika alfa wynoszącego 1,4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274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217819AF" w14:textId="62003F23"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sz w:val="24"/>
              </w:rPr>
              <w:t>Kwotę zgłoszoną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instytucje uwzględniają także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{0101;0010}, jak gdyby nie miało zastosowania żadne wyłączenie.</w:t>
            </w:r>
          </w:p>
        </w:tc>
      </w:tr>
      <w:tr w:rsidR="00CB48CC" w:rsidRPr="00B817D9" w14:paraId="77B81E13" w14:textId="77777777" w:rsidTr="008979D2">
        <w:trPr>
          <w:trHeight w:val="304"/>
        </w:trPr>
        <w:tc>
          <w:tcPr>
            <w:tcW w:w="1555" w:type="dxa"/>
            <w:gridSpan w:val="2"/>
          </w:tcPr>
          <w:p w14:paraId="59F8E92F" w14:textId="10EA4427"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lastRenderedPageBreak/>
              <w:t>{0103;0010}</w:t>
            </w:r>
          </w:p>
        </w:tc>
        <w:tc>
          <w:tcPr>
            <w:tcW w:w="7566" w:type="dxa"/>
          </w:tcPr>
          <w:p w14:paraId="3D169826" w14:textId="3A31D226"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Odstępstwo</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instrumentów pochodnych: wkład</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 xml:space="preserve">ułu potencjalnej przyszłej ekspozycji na podstawie uproszczonej metody standardowej (mnożnik na poziomie 1) </w:t>
            </w:r>
          </w:p>
          <w:p w14:paraId="5B7322DC" w14:textId="59321710" w:rsidR="00201339" w:rsidRPr="00B817D9" w:rsidRDefault="00803EDD" w:rsidP="000B66BC">
            <w:pPr>
              <w:pStyle w:val="BodyText1"/>
              <w:spacing w:after="240"/>
              <w:rPr>
                <w:rFonts w:ascii="Times New Roman" w:hAnsi="Times New Roman"/>
                <w:bCs/>
                <w:sz w:val="24"/>
                <w:szCs w:val="24"/>
              </w:rPr>
            </w:pPr>
            <w:r w:rsidRPr="00B817D9">
              <w:rPr>
                <w:rFonts w:ascii="Times New Roman" w:hAnsi="Times New Roman"/>
                <w:sz w:val="24"/>
              </w:rPr>
              <w:t>Art. 281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f)</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6 rozporządzenia (UE) nr</w:t>
            </w:r>
            <w:r w:rsidR="00B817D9" w:rsidRPr="00B817D9">
              <w:rPr>
                <w:rFonts w:ascii="Times New Roman" w:hAnsi="Times New Roman"/>
                <w:sz w:val="24"/>
              </w:rPr>
              <w:t> </w:t>
            </w:r>
            <w:r w:rsidRPr="00B817D9">
              <w:rPr>
                <w:rFonts w:ascii="Times New Roman" w:hAnsi="Times New Roman"/>
                <w:sz w:val="24"/>
              </w:rPr>
              <w:t>575/2013 Potencjalna przyszła ekspozycja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upr</w:t>
            </w:r>
            <w:r w:rsidRPr="00B817D9">
              <w:rPr>
                <w:rFonts w:ascii="Times New Roman" w:hAnsi="Times New Roman"/>
                <w:sz w:val="24"/>
              </w:rPr>
              <w:t>oszczoną metodą standardową określoną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281 rozporządzenia (UE) nr</w:t>
            </w:r>
            <w:r w:rsidR="00B817D9" w:rsidRPr="00B817D9">
              <w:rPr>
                <w:rFonts w:ascii="Times New Roman" w:hAnsi="Times New Roman"/>
                <w:sz w:val="24"/>
              </w:rPr>
              <w:t> </w:t>
            </w:r>
            <w:r w:rsidRPr="00B817D9">
              <w:rPr>
                <w:rFonts w:ascii="Times New Roman" w:hAnsi="Times New Roman"/>
                <w:sz w:val="24"/>
              </w:rPr>
              <w:t>575/2013, przy założeniu, że mnożnik wynosi 1. Kwotę zgłasza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tosowaniem współczynnika alfa wynoszącego 1,4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274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3AE17E54" w14:textId="30B0B4E8" w:rsidR="00CB48CC" w:rsidRPr="00B817D9" w:rsidRDefault="00201339" w:rsidP="000B66BC">
            <w:pPr>
              <w:pStyle w:val="BodyText1"/>
              <w:spacing w:after="240"/>
              <w:rPr>
                <w:rFonts w:ascii="Times New Roman" w:hAnsi="Times New Roman"/>
                <w:b/>
                <w:bCs/>
                <w:sz w:val="24"/>
                <w:szCs w:val="24"/>
              </w:rPr>
            </w:pPr>
            <w:r w:rsidRPr="00B817D9">
              <w:rPr>
                <w:rFonts w:ascii="Times New Roman" w:hAnsi="Times New Roman"/>
                <w:sz w:val="24"/>
              </w:rPr>
              <w:t>Instytucje, które stosują uproszczoną metodę standardową, nie zmniejszają miary ekspozycji całkowitej</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kwo</w:t>
            </w:r>
            <w:r w:rsidRPr="00B817D9">
              <w:rPr>
                <w:rFonts w:ascii="Times New Roman" w:hAnsi="Times New Roman"/>
                <w:sz w:val="24"/>
              </w:rPr>
              <w:t>tę depozytu zabezpieczającego otrzymanego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6 rozporządzenia (UE) nr</w:t>
            </w:r>
            <w:r w:rsidR="00B817D9" w:rsidRPr="00B817D9">
              <w:rPr>
                <w:rFonts w:ascii="Times New Roman" w:hAnsi="Times New Roman"/>
                <w:sz w:val="24"/>
              </w:rPr>
              <w:t> </w:t>
            </w:r>
            <w:r w:rsidRPr="00B817D9">
              <w:rPr>
                <w:rFonts w:ascii="Times New Roman" w:hAnsi="Times New Roman"/>
                <w:sz w:val="24"/>
              </w:rPr>
              <w:t>575/2013.</w:t>
            </w:r>
            <w:r w:rsidRPr="00B817D9">
              <w:rPr>
                <w:sz w:val="24"/>
              </w:rPr>
              <w:t xml:space="preserve"> </w:t>
            </w:r>
          </w:p>
        </w:tc>
      </w:tr>
      <w:tr w:rsidR="00E1595A" w:rsidRPr="00B817D9"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B817D9" w:rsidRDefault="00E1595A" w:rsidP="000B66BC">
            <w:pPr>
              <w:pStyle w:val="BodyText1"/>
              <w:spacing w:after="240"/>
              <w:rPr>
                <w:rFonts w:ascii="Times New Roman" w:hAnsi="Times New Roman"/>
                <w:bCs/>
                <w:sz w:val="24"/>
                <w:szCs w:val="24"/>
              </w:rPr>
            </w:pPr>
            <w:r w:rsidRPr="00B817D9">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368139" w:rsidR="00E1595A" w:rsidRPr="00B817D9" w:rsidRDefault="00E1595A"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 Wpływ wyłączonych ekspozycji</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transakcji rozliczanych za pośrednictwem klienta</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składnika rozliczanego</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kon</w:t>
            </w:r>
            <w:r w:rsidRPr="00B817D9">
              <w:rPr>
                <w:rFonts w:ascii="Times New Roman" w:hAnsi="Times New Roman"/>
                <w:b/>
                <w:sz w:val="24"/>
              </w:rPr>
              <w:t>trahentem centralnym (uproszczona metoda standardowa – potencjalna przyszła ekspozycja)</w:t>
            </w:r>
          </w:p>
          <w:p w14:paraId="350D0B05" w14:textId="6C762271" w:rsidR="00E1595A" w:rsidRPr="00B817D9" w:rsidRDefault="00E1595A"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g) rozporządzenia (UE) nr</w:t>
            </w:r>
            <w:r w:rsidR="00B817D9" w:rsidRPr="00B817D9">
              <w:rPr>
                <w:rFonts w:ascii="Times New Roman" w:hAnsi="Times New Roman"/>
                <w:sz w:val="24"/>
              </w:rPr>
              <w:t> </w:t>
            </w:r>
            <w:r w:rsidRPr="00B817D9">
              <w:rPr>
                <w:rFonts w:ascii="Times New Roman" w:hAnsi="Times New Roman"/>
                <w:sz w:val="24"/>
              </w:rPr>
              <w:t>575/2013</w:t>
            </w:r>
          </w:p>
          <w:p w14:paraId="7020C299" w14:textId="44A1728A" w:rsidR="00E1595A" w:rsidRPr="00B817D9" w:rsidRDefault="00E1595A" w:rsidP="000B66BC">
            <w:pPr>
              <w:pStyle w:val="BodyText1"/>
              <w:spacing w:after="240" w:line="240" w:lineRule="auto"/>
              <w:rPr>
                <w:rFonts w:ascii="Times New Roman" w:hAnsi="Times New Roman"/>
                <w:bCs/>
                <w:sz w:val="24"/>
                <w:szCs w:val="24"/>
              </w:rPr>
            </w:pPr>
            <w:r w:rsidRPr="00B817D9">
              <w:rPr>
                <w:rFonts w:ascii="Times New Roman" w:hAnsi="Times New Roman"/>
                <w:sz w:val="24"/>
              </w:rPr>
              <w:t>Odpowiadająca potencjalnej przyszłej ekspozycji część wyłączonych ekspozycji wobec kwalifikującego się kontrahenta centralnego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rozliczanych za pośrednictwem klienta transakcji na instrumentach pochodnych, pod warunkiem że pozycje te spełniają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306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Kwotę zgłasza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tosowaniem współczynnika alfa wynoszącego 1,4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274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419E01C7" w14:textId="1D1BF4A3" w:rsidR="00E1595A" w:rsidRPr="00B817D9" w:rsidRDefault="00E1595A" w:rsidP="000B66BC">
            <w:pPr>
              <w:pStyle w:val="BodyText1"/>
              <w:spacing w:after="240" w:line="240" w:lineRule="auto"/>
              <w:rPr>
                <w:rFonts w:ascii="Times New Roman" w:hAnsi="Times New Roman"/>
                <w:b/>
                <w:bCs/>
                <w:sz w:val="24"/>
                <w:szCs w:val="24"/>
              </w:rPr>
            </w:pPr>
            <w:r w:rsidRPr="00B817D9">
              <w:rPr>
                <w:rFonts w:ascii="Times New Roman" w:hAnsi="Times New Roman"/>
                <w:sz w:val="24"/>
              </w:rPr>
              <w:t>Kwotę zgłoszoną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instytucje uwzględniają także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{0103;0010}, jak gdyby nie miało zastosowania żadne wyłączenie.</w:t>
            </w:r>
          </w:p>
        </w:tc>
      </w:tr>
      <w:tr w:rsidR="00CB48CC" w:rsidRPr="00B817D9" w14:paraId="28BF0347" w14:textId="77777777" w:rsidTr="008979D2">
        <w:trPr>
          <w:trHeight w:val="304"/>
        </w:trPr>
        <w:tc>
          <w:tcPr>
            <w:tcW w:w="1555" w:type="dxa"/>
            <w:gridSpan w:val="2"/>
          </w:tcPr>
          <w:p w14:paraId="313EA046" w14:textId="430415F9"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lastRenderedPageBreak/>
              <w:t>{0110;0010}</w:t>
            </w:r>
          </w:p>
          <w:p w14:paraId="4A976476" w14:textId="77777777" w:rsidR="00CB48CC" w:rsidRPr="00B817D9" w:rsidRDefault="00CB48CC" w:rsidP="000B66BC">
            <w:pPr>
              <w:pStyle w:val="BodyText1"/>
              <w:spacing w:after="240"/>
              <w:rPr>
                <w:rFonts w:ascii="Times New Roman" w:hAnsi="Times New Roman"/>
                <w:bCs/>
                <w:sz w:val="24"/>
                <w:szCs w:val="24"/>
              </w:rPr>
            </w:pPr>
          </w:p>
        </w:tc>
        <w:tc>
          <w:tcPr>
            <w:tcW w:w="7566" w:type="dxa"/>
          </w:tcPr>
          <w:p w14:paraId="2CF5E433" w14:textId="4299B666"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Odstępstwo</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instrumentów pochodnych: metoda wyceny pierwotnej ekspozycji</w:t>
            </w:r>
          </w:p>
          <w:p w14:paraId="6E5CD50D" w14:textId="7DB5F2CC"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429c ust.</w:t>
            </w:r>
            <w:r w:rsidR="00B817D9" w:rsidRPr="00B817D9">
              <w:rPr>
                <w:rFonts w:ascii="Times New Roman" w:hAnsi="Times New Roman"/>
                <w:sz w:val="24"/>
              </w:rPr>
              <w:t> </w:t>
            </w:r>
            <w:r w:rsidRPr="00B817D9">
              <w:rPr>
                <w:rFonts w:ascii="Times New Roman" w:hAnsi="Times New Roman"/>
                <w:sz w:val="24"/>
              </w:rPr>
              <w:t>6</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282 rozporządzenia (UE) nr</w:t>
            </w:r>
            <w:r w:rsidR="00B817D9" w:rsidRPr="00B817D9">
              <w:rPr>
                <w:rFonts w:ascii="Times New Roman" w:hAnsi="Times New Roman"/>
                <w:sz w:val="24"/>
              </w:rPr>
              <w:t> </w:t>
            </w:r>
            <w:r w:rsidRPr="00B817D9">
              <w:rPr>
                <w:rFonts w:ascii="Times New Roman" w:hAnsi="Times New Roman"/>
                <w:sz w:val="24"/>
              </w:rPr>
              <w:t>575/2013</w:t>
            </w:r>
          </w:p>
          <w:p w14:paraId="394FA10D" w14:textId="183A3C04"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Komórka ta przedstawia miarę ekspozycji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umów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 </w:t>
            </w:r>
            <w:r w:rsidRPr="00B817D9">
              <w:rPr>
                <w:rFonts w:ascii="Times New Roman" w:hAnsi="Times New Roman"/>
                <w:sz w:val="24"/>
              </w:rPr>
              <w:t>1</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2</w:t>
            </w:r>
            <w:r w:rsidRPr="00B817D9">
              <w:rPr>
                <w:rFonts w:ascii="Times New Roman" w:hAnsi="Times New Roman"/>
                <w:sz w:val="24"/>
              </w:rPr>
              <w:t xml:space="preserve"> załącznika II do rozporządzenia (UE) nr</w:t>
            </w:r>
            <w:r w:rsidR="00B817D9" w:rsidRPr="00B817D9">
              <w:rPr>
                <w:rFonts w:ascii="Times New Roman" w:hAnsi="Times New Roman"/>
                <w:sz w:val="24"/>
              </w:rPr>
              <w:t> </w:t>
            </w:r>
            <w:r w:rsidRPr="00B817D9">
              <w:rPr>
                <w:rFonts w:ascii="Times New Roman" w:hAnsi="Times New Roman"/>
                <w:sz w:val="24"/>
              </w:rPr>
              <w:t>575/2013 obliczoną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met</w:t>
            </w:r>
            <w:r w:rsidRPr="00B817D9">
              <w:rPr>
                <w:rFonts w:ascii="Times New Roman" w:hAnsi="Times New Roman"/>
                <w:sz w:val="24"/>
              </w:rPr>
              <w:t>odą wyceny pierwotnej ekspozycji określoną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282 rozporządzenia (UE) nr</w:t>
            </w:r>
            <w:r w:rsidR="00B817D9" w:rsidRPr="00B817D9">
              <w:rPr>
                <w:rFonts w:ascii="Times New Roman" w:hAnsi="Times New Roman"/>
                <w:sz w:val="24"/>
              </w:rPr>
              <w:t> </w:t>
            </w:r>
            <w:r w:rsidRPr="00B817D9">
              <w:rPr>
                <w:rFonts w:ascii="Times New Roman" w:hAnsi="Times New Roman"/>
                <w:sz w:val="24"/>
              </w:rPr>
              <w:t>575/2013.</w:t>
            </w:r>
          </w:p>
          <w:p w14:paraId="0B0A4108" w14:textId="2E148DB8"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które stosują metodę wyceny pierwotnej ekspozycj</w:t>
            </w:r>
            <w:r w:rsidR="002965A8" w:rsidRPr="00B817D9">
              <w:rPr>
                <w:rFonts w:ascii="Times New Roman" w:hAnsi="Times New Roman"/>
                <w:sz w:val="24"/>
              </w:rPr>
              <w:t>i</w:t>
            </w:r>
            <w:r w:rsidRPr="00B817D9">
              <w:rPr>
                <w:rFonts w:ascii="Times New Roman" w:hAnsi="Times New Roman"/>
                <w:sz w:val="24"/>
              </w:rPr>
              <w:t>, nie zmniejszają miary ekspozycji całkowitej</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kwo</w:t>
            </w:r>
            <w:r w:rsidRPr="00B817D9">
              <w:rPr>
                <w:rFonts w:ascii="Times New Roman" w:hAnsi="Times New Roman"/>
                <w:sz w:val="24"/>
              </w:rPr>
              <w:t>tę depozytu zabezpieczającego otrzymanego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6 rozporządzenia (UE) nr</w:t>
            </w:r>
            <w:r w:rsidR="00B817D9" w:rsidRPr="00B817D9">
              <w:rPr>
                <w:rFonts w:ascii="Times New Roman" w:hAnsi="Times New Roman"/>
                <w:sz w:val="24"/>
              </w:rPr>
              <w:t> </w:t>
            </w:r>
            <w:r w:rsidRPr="00B817D9">
              <w:rPr>
                <w:rFonts w:ascii="Times New Roman" w:hAnsi="Times New Roman"/>
                <w:sz w:val="24"/>
              </w:rPr>
              <w:t>575/2013.</w:t>
            </w:r>
          </w:p>
          <w:p w14:paraId="39B54B07" w14:textId="5E193AC3"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które nie stosują metody wyceny pierwotnej ekspozycji, nie zgłaszają tej komórki.</w:t>
            </w:r>
          </w:p>
          <w:p w14:paraId="1981EF1E" w14:textId="3C6B5F73" w:rsidR="00CB48CC" w:rsidRPr="00B817D9" w:rsidRDefault="00CB48CC" w:rsidP="000B66BC">
            <w:pPr>
              <w:pStyle w:val="BodyText1"/>
              <w:spacing w:after="240" w:line="240" w:lineRule="auto"/>
              <w:rPr>
                <w:rFonts w:ascii="Times New Roman" w:hAnsi="Times New Roman"/>
                <w:bCs/>
                <w:sz w:val="24"/>
                <w:szCs w:val="24"/>
                <w:u w:val="single"/>
              </w:rPr>
            </w:pPr>
            <w:r w:rsidRPr="00B817D9">
              <w:rPr>
                <w:rFonts w:ascii="Times New Roman" w:hAnsi="Times New Roman"/>
                <w:sz w:val="24"/>
              </w:rPr>
              <w:t>Instytucje nie uwzględniają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umów wycenianych przy zastosowaniu metody standardowej dotyczącej CCR lub uproszczonej metody standardowej.</w:t>
            </w:r>
          </w:p>
        </w:tc>
      </w:tr>
      <w:tr w:rsidR="00CB48CC" w:rsidRPr="00B817D9" w14:paraId="3B7D8618" w14:textId="77777777" w:rsidTr="008979D2">
        <w:trPr>
          <w:trHeight w:val="304"/>
        </w:trPr>
        <w:tc>
          <w:tcPr>
            <w:tcW w:w="1555" w:type="dxa"/>
            <w:gridSpan w:val="2"/>
          </w:tcPr>
          <w:p w14:paraId="42ED892B" w14:textId="40D19137"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{0120;0010}</w:t>
            </w:r>
          </w:p>
        </w:tc>
        <w:tc>
          <w:tcPr>
            <w:tcW w:w="7566" w:type="dxa"/>
          </w:tcPr>
          <w:p w14:paraId="6FE290CC" w14:textId="156E741E"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 Wyłączone ekspozycje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transakcji rozliczanych za pośrednictwem klienta</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składnika rozliczanego</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kon</w:t>
            </w:r>
            <w:r w:rsidRPr="00B817D9">
              <w:rPr>
                <w:rFonts w:ascii="Times New Roman" w:hAnsi="Times New Roman"/>
                <w:b/>
                <w:sz w:val="24"/>
              </w:rPr>
              <w:t>trahentem centralnym (metoda wyceny pierwotnej ekspozycji)</w:t>
            </w:r>
          </w:p>
          <w:p w14:paraId="7A371D92" w14:textId="7F88B7EB" w:rsidR="00CB48CC" w:rsidRPr="00B817D9" w:rsidRDefault="00803EDD"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g) rozporządzenia (UE) nr</w:t>
            </w:r>
            <w:r w:rsidR="00B817D9" w:rsidRPr="00B817D9">
              <w:rPr>
                <w:rFonts w:ascii="Times New Roman" w:hAnsi="Times New Roman"/>
                <w:sz w:val="24"/>
              </w:rPr>
              <w:t> </w:t>
            </w:r>
            <w:r w:rsidRPr="00B817D9">
              <w:rPr>
                <w:rFonts w:ascii="Times New Roman" w:hAnsi="Times New Roman"/>
                <w:sz w:val="24"/>
              </w:rPr>
              <w:t>575/2013</w:t>
            </w:r>
          </w:p>
          <w:p w14:paraId="6CD3BE79" w14:textId="433AB9C6"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Wyłączone ekspozycje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transakcji rozliczanych za pośrednictwem klienta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składnika rozliczanego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kon</w:t>
            </w:r>
            <w:r w:rsidRPr="00B817D9">
              <w:rPr>
                <w:rFonts w:ascii="Times New Roman" w:hAnsi="Times New Roman"/>
                <w:sz w:val="24"/>
              </w:rPr>
              <w:t>trahentem centralnym przy zastosowaniu metody wyceny pierwotnej wartości ekspozycji określonej</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282 rozporządzenia (UE) nr</w:t>
            </w:r>
            <w:r w:rsidR="00B817D9" w:rsidRPr="00B817D9">
              <w:rPr>
                <w:rFonts w:ascii="Times New Roman" w:hAnsi="Times New Roman"/>
                <w:sz w:val="24"/>
              </w:rPr>
              <w:t> </w:t>
            </w:r>
            <w:r w:rsidRPr="00B817D9">
              <w:rPr>
                <w:rFonts w:ascii="Times New Roman" w:hAnsi="Times New Roman"/>
                <w:sz w:val="24"/>
              </w:rPr>
              <w:t>575/2013, pod warunkiem że pozycje te spełniają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306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18D8428B" w14:textId="78DE3C19"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Kwotę zgłoszoną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instytucje uwzględniają także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{0110;0010}, jak gdyby nie miało zastosowania żadne wyłączenie.</w:t>
            </w:r>
          </w:p>
        </w:tc>
      </w:tr>
      <w:tr w:rsidR="00CB48CC" w:rsidRPr="00B817D9" w14:paraId="5029F8E7" w14:textId="77777777" w:rsidTr="008979D2">
        <w:trPr>
          <w:trHeight w:val="304"/>
        </w:trPr>
        <w:tc>
          <w:tcPr>
            <w:tcW w:w="1555" w:type="dxa"/>
            <w:gridSpan w:val="2"/>
          </w:tcPr>
          <w:p w14:paraId="598E1804" w14:textId="33506324"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{0130;0010}</w:t>
            </w:r>
          </w:p>
        </w:tc>
        <w:tc>
          <w:tcPr>
            <w:tcW w:w="7566" w:type="dxa"/>
          </w:tcPr>
          <w:p w14:paraId="0ECB889E" w14:textId="089C328F"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Kwota referencyjna wystawionych kredytowych instrumentów pochodnych po zastosowaniu wyłączeń</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odl</w:t>
            </w:r>
            <w:r w:rsidRPr="00B817D9">
              <w:rPr>
                <w:rFonts w:ascii="Times New Roman" w:hAnsi="Times New Roman"/>
                <w:b/>
                <w:sz w:val="24"/>
              </w:rPr>
              <w:t>iczeń</w:t>
            </w:r>
          </w:p>
          <w:p w14:paraId="3144DF47" w14:textId="0BDFC0FF"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429d rozporządzenia (UE) nr</w:t>
            </w:r>
            <w:r w:rsidR="00B817D9" w:rsidRPr="00B817D9">
              <w:rPr>
                <w:rFonts w:ascii="Times New Roman" w:hAnsi="Times New Roman"/>
                <w:sz w:val="24"/>
              </w:rPr>
              <w:t> </w:t>
            </w:r>
            <w:r w:rsidRPr="00B817D9">
              <w:rPr>
                <w:rFonts w:ascii="Times New Roman" w:hAnsi="Times New Roman"/>
                <w:sz w:val="24"/>
              </w:rPr>
              <w:t>575/2013</w:t>
            </w:r>
          </w:p>
          <w:p w14:paraId="7435D499" w14:textId="3C3DCDB8" w:rsidR="00CB48CC" w:rsidRPr="00B817D9" w:rsidRDefault="00E75BB8" w:rsidP="000B66BC">
            <w:pPr>
              <w:pStyle w:val="BodyText1"/>
              <w:spacing w:after="240" w:line="240" w:lineRule="auto"/>
              <w:rPr>
                <w:rFonts w:ascii="Times New Roman" w:hAnsi="Times New Roman"/>
                <w:bCs/>
                <w:sz w:val="24"/>
                <w:szCs w:val="24"/>
              </w:rPr>
            </w:pPr>
            <w:r w:rsidRPr="00B817D9">
              <w:rPr>
                <w:rFonts w:ascii="Times New Roman" w:hAnsi="Times New Roman"/>
                <w:sz w:val="24"/>
              </w:rPr>
              <w:t>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429d rozporządzenia (UE) nr</w:t>
            </w:r>
            <w:r w:rsidR="00B817D9" w:rsidRPr="00B817D9">
              <w:rPr>
                <w:rFonts w:ascii="Times New Roman" w:hAnsi="Times New Roman"/>
                <w:sz w:val="24"/>
              </w:rPr>
              <w:t> </w:t>
            </w:r>
            <w:r w:rsidRPr="00B817D9">
              <w:rPr>
                <w:rFonts w:ascii="Times New Roman" w:hAnsi="Times New Roman"/>
                <w:sz w:val="24"/>
              </w:rPr>
              <w:t>575/2013 instytucje ustalają kwotę referencyjną – po zastosowaniu wyłączeń</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odl</w:t>
            </w:r>
            <w:r w:rsidRPr="00B817D9">
              <w:rPr>
                <w:rFonts w:ascii="Times New Roman" w:hAnsi="Times New Roman"/>
                <w:sz w:val="24"/>
              </w:rPr>
              <w:t>iczeń – wystawionych kredytowych instrumentów pochodnych określonych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429d ust.</w:t>
            </w:r>
            <w:r w:rsidR="00B817D9" w:rsidRPr="00B817D9">
              <w:rPr>
                <w:rFonts w:ascii="Times New Roman" w:hAnsi="Times New Roman"/>
                <w:sz w:val="24"/>
              </w:rPr>
              <w:t> </w:t>
            </w:r>
            <w:r w:rsidRPr="00B817D9">
              <w:rPr>
                <w:rFonts w:ascii="Times New Roman" w:hAnsi="Times New Roman"/>
                <w:sz w:val="24"/>
              </w:rPr>
              <w:t>1.</w:t>
            </w:r>
          </w:p>
        </w:tc>
      </w:tr>
      <w:tr w:rsidR="00CB48CC" w:rsidRPr="00B817D9" w14:paraId="5DA0B9DC" w14:textId="77777777" w:rsidTr="008979D2">
        <w:trPr>
          <w:trHeight w:val="304"/>
        </w:trPr>
        <w:tc>
          <w:tcPr>
            <w:tcW w:w="1555" w:type="dxa"/>
            <w:gridSpan w:val="2"/>
          </w:tcPr>
          <w:p w14:paraId="753E918D" w14:textId="3CA2220D"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{0140;0010}</w:t>
            </w:r>
          </w:p>
        </w:tc>
        <w:tc>
          <w:tcPr>
            <w:tcW w:w="7566" w:type="dxa"/>
          </w:tcPr>
          <w:p w14:paraId="7C62D40B" w14:textId="7777777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 Kwalifikujące się nabyte kredytowe instrumenty pochodne kompensowane wystawionymi kredytowymi instrumentami pochodnymi</w:t>
            </w:r>
          </w:p>
          <w:p w14:paraId="64C8DF12" w14:textId="7B5DD192"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Art. 429d rozporządzenia (UE) nr</w:t>
            </w:r>
            <w:r w:rsidR="00B817D9" w:rsidRPr="00B817D9">
              <w:rPr>
                <w:rFonts w:ascii="Times New Roman" w:hAnsi="Times New Roman"/>
                <w:sz w:val="24"/>
              </w:rPr>
              <w:t> </w:t>
            </w:r>
            <w:r w:rsidRPr="00B817D9">
              <w:rPr>
                <w:rFonts w:ascii="Times New Roman" w:hAnsi="Times New Roman"/>
                <w:sz w:val="24"/>
              </w:rPr>
              <w:t>575/2013</w:t>
            </w:r>
          </w:p>
          <w:p w14:paraId="444D1EBB" w14:textId="16F181B0"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referencyjna nabytych kredytowych instrumentów pochodnych po zastosowaniu wyłączeń</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odl</w:t>
            </w:r>
            <w:r w:rsidRPr="00B817D9">
              <w:rPr>
                <w:rFonts w:ascii="Times New Roman" w:hAnsi="Times New Roman"/>
                <w:sz w:val="24"/>
              </w:rPr>
              <w:t>iczeń (tj.</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instytucja nabywa ochronę kredytową od kontrahenta) na taką samą nazwę referencyjną jak kredytowe instrumenty pochodne wystawione przez instytucję oraz jeżeli rezydualny termin zapadalności tej nabytej ochrony kredytowej jest taki sam jak rezydualny termin zapadalności sprzedanej ochrony lub jest od niego dłuższy</w:t>
            </w:r>
            <w:r w:rsidR="00B817D9" w:rsidRPr="00B817D9">
              <w:rPr>
                <w:rFonts w:ascii="Times New Roman" w:hAnsi="Times New Roman"/>
                <w:sz w:val="24"/>
              </w:rPr>
              <w:t>.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wartość ta nie może być większa niż wartość podana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{0130;0010} dla każdej nazwy referencyjnej.</w:t>
            </w:r>
          </w:p>
        </w:tc>
      </w:tr>
      <w:tr w:rsidR="00CB48CC" w:rsidRPr="00B817D9" w14:paraId="31F41404" w14:textId="77777777" w:rsidTr="008979D2">
        <w:trPr>
          <w:trHeight w:val="983"/>
        </w:trPr>
        <w:tc>
          <w:tcPr>
            <w:tcW w:w="1555" w:type="dxa"/>
            <w:gridSpan w:val="2"/>
          </w:tcPr>
          <w:p w14:paraId="7A070329" w14:textId="158316A9"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lastRenderedPageBreak/>
              <w:t>{0150;0010}</w:t>
            </w:r>
          </w:p>
          <w:p w14:paraId="7A113EB7" w14:textId="77777777" w:rsidR="00CB48CC" w:rsidRPr="00B817D9" w:rsidRDefault="00CB48CC" w:rsidP="000B66BC">
            <w:pPr>
              <w:pStyle w:val="BodyText1"/>
              <w:spacing w:after="240"/>
              <w:rPr>
                <w:rFonts w:ascii="Times New Roman" w:hAnsi="Times New Roman"/>
                <w:bCs/>
                <w:sz w:val="24"/>
                <w:szCs w:val="24"/>
              </w:rPr>
            </w:pPr>
          </w:p>
        </w:tc>
        <w:tc>
          <w:tcPr>
            <w:tcW w:w="7566" w:type="dxa"/>
          </w:tcPr>
          <w:p w14:paraId="4E086B7E" w14:textId="555C5EE9"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Pozycje pozabilansowe przy współczynniku konwersji kredytowej 10 % zgodnie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 429f CRR</w:t>
            </w:r>
          </w:p>
          <w:p w14:paraId="7C110152" w14:textId="6D4BB0AF" w:rsidR="00CB48CC" w:rsidRPr="00B817D9" w:rsidRDefault="00867B43"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art.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r w:rsidR="00523E15" w:rsidRPr="00B817D9">
              <w:rPr>
                <w:rFonts w:ascii="Times New Roman" w:hAnsi="Times New Roman"/>
                <w:sz w:val="24"/>
              </w:rPr>
              <w:t>.</w:t>
            </w:r>
          </w:p>
          <w:p w14:paraId="6707D5C8" w14:textId="5CC29772" w:rsidR="00494A67" w:rsidRPr="00B817D9" w:rsidRDefault="00406DB7" w:rsidP="000B66BC">
            <w:pPr>
              <w:pStyle w:val="BodyText1"/>
              <w:spacing w:after="240" w:line="240" w:lineRule="auto"/>
              <w:rPr>
                <w:rFonts w:ascii="Times New Roman" w:hAnsi="Times New Roman"/>
                <w:bCs/>
                <w:sz w:val="24"/>
                <w:szCs w:val="24"/>
              </w:rPr>
            </w:pPr>
            <w:r w:rsidRPr="00B817D9">
              <w:rPr>
                <w:rFonts w:ascii="Times New Roman" w:hAnsi="Times New Roman"/>
                <w:sz w:val="24"/>
              </w:rPr>
              <w:t>Rozporządzenie (UE) nr</w:t>
            </w:r>
            <w:r w:rsidR="00B817D9" w:rsidRPr="00B817D9">
              <w:rPr>
                <w:rFonts w:ascii="Times New Roman" w:hAnsi="Times New Roman"/>
                <w:sz w:val="24"/>
              </w:rPr>
              <w:t> </w:t>
            </w:r>
            <w:r w:rsidRPr="00B817D9">
              <w:rPr>
                <w:rFonts w:ascii="Times New Roman" w:hAnsi="Times New Roman"/>
                <w:sz w:val="24"/>
              </w:rPr>
              <w:t>575/2013</w:t>
            </w:r>
            <w:r w:rsidR="00523E15" w:rsidRPr="00B817D9">
              <w:rPr>
                <w:rFonts w:ascii="Times New Roman" w:hAnsi="Times New Roman"/>
                <w:sz w:val="24"/>
              </w:rPr>
              <w:t>.</w:t>
            </w:r>
          </w:p>
          <w:p w14:paraId="7057DD3E" w14:textId="71E03614"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Należy przypomnieć, że wartości nominalnej nie można zmniejszać</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kor</w:t>
            </w:r>
            <w:r w:rsidRPr="00B817D9">
              <w:rPr>
                <w:rFonts w:ascii="Times New Roman" w:hAnsi="Times New Roman"/>
                <w:sz w:val="24"/>
              </w:rPr>
              <w:t>ekty</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szczególnego ryzyka kredytowego przed zastosowaniem współczynnika konwersji kredytowej.</w:t>
            </w:r>
            <w:r w:rsidRPr="00B817D9">
              <w:rPr>
                <w:sz w:val="24"/>
              </w:rPr>
              <w:t xml:space="preserve"> </w:t>
            </w:r>
            <w:r w:rsidRPr="00B817D9">
              <w:rPr>
                <w:rFonts w:ascii="Times New Roman" w:hAnsi="Times New Roman"/>
                <w:sz w:val="24"/>
              </w:rPr>
              <w:t>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ust.</w:t>
            </w:r>
            <w:r w:rsidR="00B817D9" w:rsidRPr="00B817D9">
              <w:rPr>
                <w:rFonts w:ascii="Times New Roman" w:hAnsi="Times New Roman"/>
                <w:sz w:val="24"/>
              </w:rPr>
              <w:t> </w:t>
            </w:r>
            <w:r w:rsidRPr="00B817D9">
              <w:rPr>
                <w:rFonts w:ascii="Times New Roman" w:hAnsi="Times New Roman"/>
                <w:sz w:val="24"/>
              </w:rPr>
              <w:t>2 instytucje mogą pomniejszyć ekspozycję kredytową równoważną kwocie pozycji pozabilansowej</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owiadającą wartość korekt</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szczególnego ryzyka kredytowego. Obliczenie to podlega dolnemu ograniczeniu wynoszącemu zero.</w:t>
            </w:r>
          </w:p>
          <w:p w14:paraId="34359CD8" w14:textId="49F4A11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dane zobowiązanie dotyczy przedłużenia innej pozycji pozabilansowej, stosuje się niższy</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dwó</w:t>
            </w:r>
            <w:r w:rsidRPr="00B817D9">
              <w:rPr>
                <w:rFonts w:ascii="Times New Roman" w:hAnsi="Times New Roman"/>
                <w:sz w:val="24"/>
              </w:rPr>
              <w:t>ch współczynników konwersji (odpowiadających 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której zaciągane jest zobowiązanie, lub rodzajowi zaciąganego zobowiązania)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p>
          <w:p w14:paraId="39DFADB3" w14:textId="2F96100B" w:rsidR="00CB48CC" w:rsidRPr="00B817D9" w:rsidRDefault="00CB48CC" w:rsidP="0061658B">
            <w:pPr>
              <w:pStyle w:val="BodyText1"/>
              <w:spacing w:after="240"/>
              <w:rPr>
                <w:rFonts w:ascii="Times New Roman" w:hAnsi="Times New Roman"/>
                <w:bCs/>
                <w:sz w:val="24"/>
                <w:szCs w:val="24"/>
              </w:rPr>
            </w:pPr>
            <w:r w:rsidRPr="00B817D9">
              <w:rPr>
                <w:rFonts w:ascii="Times New Roman" w:hAnsi="Times New Roman"/>
                <w:sz w:val="24"/>
              </w:rPr>
              <w:t>W tej komórce instytucje nie uwzględniają umów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575/2013, kredytowych instrumentów pochodnych, SFT</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poz</w:t>
            </w:r>
            <w:r w:rsidRPr="00B817D9">
              <w:rPr>
                <w:rFonts w:ascii="Times New Roman" w:hAnsi="Times New Roman"/>
                <w:sz w:val="24"/>
              </w:rPr>
              <w:t>ycji,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429d,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rozporządzenia (UE) nr</w:t>
            </w:r>
            <w:r w:rsidR="00B817D9" w:rsidRPr="00B817D9">
              <w:rPr>
                <w:rFonts w:ascii="Times New Roman" w:hAnsi="Times New Roman"/>
                <w:sz w:val="24"/>
              </w:rPr>
              <w:t> </w:t>
            </w:r>
            <w:r w:rsidRPr="00B817D9">
              <w:rPr>
                <w:rFonts w:ascii="Times New Roman" w:hAnsi="Times New Roman"/>
                <w:sz w:val="24"/>
              </w:rPr>
              <w:t>575/2013.</w:t>
            </w:r>
          </w:p>
          <w:p w14:paraId="2398A4B9" w14:textId="599553AC" w:rsidR="004B1D31" w:rsidRPr="00B817D9" w:rsidRDefault="004B1D31" w:rsidP="0061658B">
            <w:pPr>
              <w:pStyle w:val="BodyText1"/>
              <w:spacing w:after="240"/>
              <w:rPr>
                <w:rFonts w:ascii="Times New Roman" w:hAnsi="Times New Roman"/>
                <w:sz w:val="24"/>
                <w:szCs w:val="24"/>
              </w:rPr>
            </w:pPr>
            <w:r w:rsidRPr="00B817D9">
              <w:rPr>
                <w:rFonts w:ascii="Times New Roman" w:hAnsi="Times New Roman"/>
                <w:sz w:val="24"/>
              </w:rPr>
              <w:t>Instytucje stosują współczynnik konwersji kredytowej wynoszący 10 %</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for</w:t>
            </w:r>
            <w:r w:rsidRPr="00B817D9">
              <w:rPr>
                <w:rFonts w:ascii="Times New Roman" w:hAnsi="Times New Roman"/>
                <w:sz w:val="24"/>
              </w:rPr>
              <w:t>mie zobowiązań bezwarunkowo odwoływalnych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ust.</w:t>
            </w:r>
            <w:r w:rsidR="00B817D9" w:rsidRPr="00B817D9">
              <w:rPr>
                <w:rFonts w:ascii="Times New Roman" w:hAnsi="Times New Roman"/>
                <w:sz w:val="24"/>
              </w:rPr>
              <w:t> </w:t>
            </w:r>
            <w:r w:rsidRPr="00B817D9">
              <w:rPr>
                <w:rFonts w:ascii="Times New Roman" w:hAnsi="Times New Roman"/>
                <w:sz w:val="24"/>
              </w:rPr>
              <w:t>3.</w:t>
            </w:r>
            <w:r w:rsidRPr="00B817D9">
              <w:rPr>
                <w:rFonts w:ascii="Times New Roman" w:hAnsi="Times New Roman"/>
                <w:color w:val="auto"/>
                <w:sz w:val="24"/>
              </w:rPr>
              <w:t xml:space="preserve"> </w:t>
            </w:r>
          </w:p>
        </w:tc>
      </w:tr>
      <w:tr w:rsidR="00CB48CC" w:rsidRPr="00B817D9" w14:paraId="736A5471" w14:textId="77777777" w:rsidTr="008979D2">
        <w:trPr>
          <w:trHeight w:val="712"/>
        </w:trPr>
        <w:tc>
          <w:tcPr>
            <w:tcW w:w="1555" w:type="dxa"/>
            <w:gridSpan w:val="2"/>
          </w:tcPr>
          <w:p w14:paraId="7BB0A9E0" w14:textId="321744DC"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{0160;0010}</w:t>
            </w:r>
          </w:p>
        </w:tc>
        <w:tc>
          <w:tcPr>
            <w:tcW w:w="7566" w:type="dxa"/>
          </w:tcPr>
          <w:p w14:paraId="079FCB69" w14:textId="417729ED"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Pozycje pozabilansowe przy współczynniku konwersji kredytowej 20 % zgodnie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 429f CRR</w:t>
            </w:r>
          </w:p>
          <w:p w14:paraId="1808F2C6" w14:textId="17B0DC30" w:rsidR="00CB48CC" w:rsidRPr="00B817D9" w:rsidRDefault="004127BF"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art.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d)</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r w:rsidR="00523E15" w:rsidRPr="00B817D9">
              <w:rPr>
                <w:rFonts w:ascii="Times New Roman" w:hAnsi="Times New Roman"/>
                <w:sz w:val="24"/>
              </w:rPr>
              <w:t>.</w:t>
            </w:r>
          </w:p>
          <w:p w14:paraId="130864F0" w14:textId="0B19B8B6" w:rsidR="00CB48CC" w:rsidRPr="00B817D9" w:rsidRDefault="00406DB7" w:rsidP="000B66BC">
            <w:pPr>
              <w:pStyle w:val="BodyText1"/>
              <w:spacing w:after="240" w:line="240" w:lineRule="auto"/>
              <w:rPr>
                <w:rFonts w:ascii="Times New Roman" w:hAnsi="Times New Roman"/>
                <w:bCs/>
                <w:sz w:val="24"/>
                <w:szCs w:val="24"/>
              </w:rPr>
            </w:pPr>
            <w:r w:rsidRPr="00B817D9">
              <w:rPr>
                <w:rFonts w:ascii="Times New Roman" w:hAnsi="Times New Roman"/>
                <w:sz w:val="24"/>
              </w:rPr>
              <w:t>Rozporządzenie (UE) nr</w:t>
            </w:r>
            <w:r w:rsidR="00B817D9" w:rsidRPr="00B817D9">
              <w:rPr>
                <w:rFonts w:ascii="Times New Roman" w:hAnsi="Times New Roman"/>
                <w:sz w:val="24"/>
              </w:rPr>
              <w:t> </w:t>
            </w:r>
            <w:r w:rsidRPr="00B817D9">
              <w:rPr>
                <w:rFonts w:ascii="Times New Roman" w:hAnsi="Times New Roman"/>
                <w:sz w:val="24"/>
              </w:rPr>
              <w:t>575/2013. Należy przypomnieć, że wartości nominalnej nie można zmniejszać</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kor</w:t>
            </w:r>
            <w:r w:rsidRPr="00B817D9">
              <w:rPr>
                <w:rFonts w:ascii="Times New Roman" w:hAnsi="Times New Roman"/>
                <w:sz w:val="24"/>
              </w:rPr>
              <w:t>ekty</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 xml:space="preserve">ułu szczególnego ryzyka </w:t>
            </w:r>
            <w:r w:rsidRPr="00B817D9">
              <w:rPr>
                <w:rFonts w:ascii="Times New Roman" w:hAnsi="Times New Roman"/>
                <w:sz w:val="24"/>
              </w:rPr>
              <w:lastRenderedPageBreak/>
              <w:t>kredytowego przed zastosowaniem współczynnika konwersji kredytowej.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ust.</w:t>
            </w:r>
            <w:r w:rsidR="00B817D9" w:rsidRPr="00B817D9">
              <w:rPr>
                <w:rFonts w:ascii="Times New Roman" w:hAnsi="Times New Roman"/>
                <w:sz w:val="24"/>
              </w:rPr>
              <w:t> </w:t>
            </w:r>
            <w:r w:rsidRPr="00B817D9">
              <w:rPr>
                <w:rFonts w:ascii="Times New Roman" w:hAnsi="Times New Roman"/>
                <w:sz w:val="24"/>
              </w:rPr>
              <w:t>2 instytucje mogą pomniejszyć ekspozycję kredytową równoważną kwocie pozycji pozabilansowej</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owiadającą wartość korekt</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szczególnego ryzyka kredytowego. Obliczenie to podlega dolnemu ograniczeniu wynoszącemu zero.</w:t>
            </w:r>
          </w:p>
          <w:p w14:paraId="771B332A" w14:textId="038A60E8"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dane zobowiązanie dotyczy przedłużenia innej pozycji pozabilansowej, stosuje się niższy</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dwó</w:t>
            </w:r>
            <w:r w:rsidRPr="00B817D9">
              <w:rPr>
                <w:rFonts w:ascii="Times New Roman" w:hAnsi="Times New Roman"/>
                <w:sz w:val="24"/>
              </w:rPr>
              <w:t>ch współczynników konwersji (odpowiadających 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której zaciągane jest zobowiązanie, lub rodzajowi zaciąganego zobowiązania)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p>
          <w:p w14:paraId="6986CCC3" w14:textId="1B947A20" w:rsidR="003A5EB5"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sz w:val="24"/>
              </w:rPr>
              <w:t>W tej komórce instytucje nie uwzględniają umów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575/2013, kredytowych instrumentów pochodnych, SFT</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poz</w:t>
            </w:r>
            <w:r w:rsidRPr="00B817D9">
              <w:rPr>
                <w:rFonts w:ascii="Times New Roman" w:hAnsi="Times New Roman"/>
                <w:sz w:val="24"/>
              </w:rPr>
              <w:t>ycji,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429d,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rozporządzenia (UE) nr</w:t>
            </w:r>
            <w:r w:rsidR="00B817D9" w:rsidRPr="00B817D9">
              <w:rPr>
                <w:rFonts w:ascii="Times New Roman" w:hAnsi="Times New Roman"/>
                <w:sz w:val="24"/>
              </w:rPr>
              <w:t> </w:t>
            </w:r>
            <w:r w:rsidRPr="00B817D9">
              <w:rPr>
                <w:rFonts w:ascii="Times New Roman" w:hAnsi="Times New Roman"/>
                <w:sz w:val="24"/>
              </w:rPr>
              <w:t>575/2013.</w:t>
            </w:r>
          </w:p>
        </w:tc>
      </w:tr>
      <w:tr w:rsidR="00B64E88" w:rsidRPr="00B817D9" w14:paraId="5D75FFBF" w14:textId="77777777" w:rsidTr="008979D2">
        <w:trPr>
          <w:trHeight w:val="304"/>
        </w:trPr>
        <w:tc>
          <w:tcPr>
            <w:tcW w:w="1555" w:type="dxa"/>
            <w:gridSpan w:val="2"/>
          </w:tcPr>
          <w:p w14:paraId="0E3E0D10" w14:textId="6E0627B6" w:rsidR="00B64E88" w:rsidRPr="00B817D9" w:rsidRDefault="00B64E88" w:rsidP="000B66BC">
            <w:pPr>
              <w:pStyle w:val="BodyText1"/>
              <w:spacing w:after="240"/>
              <w:rPr>
                <w:rFonts w:ascii="Times New Roman" w:hAnsi="Times New Roman"/>
                <w:bCs/>
                <w:sz w:val="24"/>
                <w:szCs w:val="24"/>
              </w:rPr>
            </w:pPr>
            <w:r w:rsidRPr="00B817D9">
              <w:rPr>
                <w:rFonts w:ascii="Times New Roman" w:hAnsi="Times New Roman"/>
                <w:sz w:val="24"/>
              </w:rPr>
              <w:lastRenderedPageBreak/>
              <w:t>{0165;0010}</w:t>
            </w:r>
          </w:p>
        </w:tc>
        <w:tc>
          <w:tcPr>
            <w:tcW w:w="7566" w:type="dxa"/>
          </w:tcPr>
          <w:p w14:paraId="2CE0BE47" w14:textId="13C2678E" w:rsidR="00B64E88" w:rsidRPr="00B817D9" w:rsidRDefault="00412D6E"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Pozycje pozabilansowe przy współczynniku konwersji kredytowej 40 % zgodnie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 429f CRR</w:t>
            </w:r>
          </w:p>
          <w:p w14:paraId="733C45E6" w14:textId="01FCD2AA" w:rsidR="00DF7B01" w:rsidRPr="00B817D9" w:rsidRDefault="004127BF" w:rsidP="005A5E25">
            <w:pPr>
              <w:pStyle w:val="BodyText1"/>
              <w:spacing w:before="240" w:line="276" w:lineRule="auto"/>
              <w:rPr>
                <w:rFonts w:ascii="Times New Roman" w:hAnsi="Times New Roman"/>
                <w:bCs/>
                <w:sz w:val="24"/>
                <w:szCs w:val="24"/>
              </w:rPr>
            </w:pPr>
            <w:r w:rsidRPr="00B817D9">
              <w:rPr>
                <w:rFonts w:ascii="Times New Roman" w:hAnsi="Times New Roman"/>
                <w:sz w:val="24"/>
              </w:rPr>
              <w:t>Wartość ekspozycji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art.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r w:rsidR="00523E15" w:rsidRPr="00B817D9">
              <w:rPr>
                <w:rFonts w:ascii="Times New Roman" w:hAnsi="Times New Roman"/>
                <w:sz w:val="24"/>
              </w:rPr>
              <w:t>.</w:t>
            </w:r>
          </w:p>
          <w:p w14:paraId="0E51A0A8" w14:textId="177E34D5" w:rsidR="000D5576" w:rsidRPr="00B817D9" w:rsidRDefault="000D5576" w:rsidP="005A5E25">
            <w:pPr>
              <w:pStyle w:val="BodyText1"/>
              <w:spacing w:before="240" w:after="240" w:line="276" w:lineRule="auto"/>
              <w:rPr>
                <w:rFonts w:ascii="Times New Roman" w:hAnsi="Times New Roman"/>
                <w:bCs/>
                <w:sz w:val="24"/>
                <w:szCs w:val="24"/>
              </w:rPr>
            </w:pPr>
            <w:r w:rsidRPr="00B817D9">
              <w:rPr>
                <w:rFonts w:ascii="Times New Roman" w:hAnsi="Times New Roman"/>
                <w:sz w:val="24"/>
              </w:rPr>
              <w:t>Należy przypomnieć, że wartości nominalnej nie można zmniejszać</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kor</w:t>
            </w:r>
            <w:r w:rsidRPr="00B817D9">
              <w:rPr>
                <w:rFonts w:ascii="Times New Roman" w:hAnsi="Times New Roman"/>
                <w:sz w:val="24"/>
              </w:rPr>
              <w:t>ekty</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szczególnego ryzyka kredytowego przed zastosowaniem współczynnika konwersji kredytowej.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ust.</w:t>
            </w:r>
            <w:r w:rsidR="00B817D9" w:rsidRPr="00B817D9">
              <w:rPr>
                <w:rFonts w:ascii="Times New Roman" w:hAnsi="Times New Roman"/>
                <w:sz w:val="24"/>
              </w:rPr>
              <w:t> </w:t>
            </w:r>
            <w:r w:rsidRPr="00B817D9">
              <w:rPr>
                <w:rFonts w:ascii="Times New Roman" w:hAnsi="Times New Roman"/>
                <w:sz w:val="24"/>
              </w:rPr>
              <w:t>2 instytucje mogą pomniejszyć ekspozycję kredytową równoważną kwocie pozycji pozabilansowej</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owiadającą wartość korekt</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szczególnego ryzyka kredytowego. Obliczenie to podlega dolnemu ograniczeniu wynoszącemu zero.</w:t>
            </w:r>
          </w:p>
          <w:p w14:paraId="76BB5F85" w14:textId="0ADD802D" w:rsidR="000D5576" w:rsidRPr="00B817D9" w:rsidRDefault="000D5576" w:rsidP="000D5576">
            <w:pPr>
              <w:pStyle w:val="BodyText1"/>
              <w:spacing w:after="240" w:line="240" w:lineRule="auto"/>
              <w:rPr>
                <w:rFonts w:ascii="Times New Roman" w:hAnsi="Times New Roman"/>
                <w:bCs/>
                <w:sz w:val="24"/>
                <w:szCs w:val="24"/>
              </w:rPr>
            </w:pPr>
            <w:r w:rsidRPr="00B817D9">
              <w:rPr>
                <w:rFonts w:ascii="Times New Roman" w:hAnsi="Times New Roman"/>
                <w:sz w:val="24"/>
              </w:rPr>
              <w:t>Jeżeli dane zobowiązanie dotyczy przedłużenia innej pozycji pozabilansowej, stosuje się niższy</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dwó</w:t>
            </w:r>
            <w:r w:rsidRPr="00B817D9">
              <w:rPr>
                <w:rFonts w:ascii="Times New Roman" w:hAnsi="Times New Roman"/>
                <w:sz w:val="24"/>
              </w:rPr>
              <w:t>ch współczynników konwersji (odpowiadających 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której zaciągane jest zobowiązanie, lub rodzajowi zaciąganego zobowiązania)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p>
          <w:p w14:paraId="7D87CAA4" w14:textId="6F5B4742" w:rsidR="000D5576" w:rsidRPr="00B817D9" w:rsidRDefault="000D5576" w:rsidP="000D5576">
            <w:pPr>
              <w:pStyle w:val="BodyText1"/>
              <w:spacing w:after="240" w:line="240" w:lineRule="auto"/>
              <w:rPr>
                <w:rFonts w:ascii="Times New Roman" w:hAnsi="Times New Roman"/>
                <w:b/>
                <w:bCs/>
                <w:sz w:val="24"/>
                <w:szCs w:val="24"/>
              </w:rPr>
            </w:pPr>
            <w:r w:rsidRPr="00B817D9">
              <w:rPr>
                <w:rFonts w:ascii="Times New Roman" w:hAnsi="Times New Roman"/>
                <w:sz w:val="24"/>
              </w:rPr>
              <w:t>W tej komórce instytucje nie uwzględniają umów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575/2013, kredytowych instrumentów pochodnych, SFT</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poz</w:t>
            </w:r>
            <w:r w:rsidRPr="00B817D9">
              <w:rPr>
                <w:rFonts w:ascii="Times New Roman" w:hAnsi="Times New Roman"/>
                <w:sz w:val="24"/>
              </w:rPr>
              <w:t>ycji,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429d,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rozporządzenia (UE) nr</w:t>
            </w:r>
            <w:r w:rsidR="00B817D9" w:rsidRPr="00B817D9">
              <w:rPr>
                <w:rFonts w:ascii="Times New Roman" w:hAnsi="Times New Roman"/>
                <w:sz w:val="24"/>
              </w:rPr>
              <w:t> </w:t>
            </w:r>
            <w:r w:rsidRPr="00B817D9">
              <w:rPr>
                <w:rFonts w:ascii="Times New Roman" w:hAnsi="Times New Roman"/>
                <w:sz w:val="24"/>
              </w:rPr>
              <w:t>575/2013.</w:t>
            </w:r>
          </w:p>
        </w:tc>
      </w:tr>
      <w:tr w:rsidR="00CB48CC" w:rsidRPr="00B817D9" w14:paraId="3354B9C5" w14:textId="77777777" w:rsidTr="008979D2">
        <w:trPr>
          <w:trHeight w:val="304"/>
        </w:trPr>
        <w:tc>
          <w:tcPr>
            <w:tcW w:w="1555" w:type="dxa"/>
            <w:gridSpan w:val="2"/>
          </w:tcPr>
          <w:p w14:paraId="513659B4" w14:textId="6E2AF11C"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{0170;0010}</w:t>
            </w:r>
          </w:p>
          <w:p w14:paraId="2D1C2289" w14:textId="77777777" w:rsidR="00CB48CC" w:rsidRPr="00B817D9" w:rsidRDefault="00CB48CC" w:rsidP="000B66BC">
            <w:pPr>
              <w:pStyle w:val="BodyText1"/>
              <w:spacing w:after="240"/>
              <w:rPr>
                <w:rFonts w:ascii="Times New Roman" w:hAnsi="Times New Roman"/>
                <w:bCs/>
                <w:sz w:val="24"/>
                <w:szCs w:val="24"/>
              </w:rPr>
            </w:pPr>
          </w:p>
        </w:tc>
        <w:tc>
          <w:tcPr>
            <w:tcW w:w="7566" w:type="dxa"/>
          </w:tcPr>
          <w:p w14:paraId="2B65BAF0" w14:textId="70DC6DA1"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Pozycje pozabilansowe przy współczynniku konwersji kredytowej 50 % zgodnie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w:t>
            </w:r>
            <w:r w:rsidR="00B817D9" w:rsidRPr="00B817D9">
              <w:rPr>
                <w:rFonts w:ascii="Times New Roman" w:hAnsi="Times New Roman"/>
                <w:b/>
                <w:sz w:val="24"/>
              </w:rPr>
              <w:t> </w:t>
            </w:r>
            <w:r w:rsidRPr="00B817D9">
              <w:rPr>
                <w:rFonts w:ascii="Times New Roman" w:hAnsi="Times New Roman"/>
                <w:b/>
                <w:sz w:val="24"/>
              </w:rPr>
              <w:t>429f CRR</w:t>
            </w:r>
          </w:p>
          <w:p w14:paraId="7DA0F3D2" w14:textId="2D16B0EA" w:rsidR="00CB48CC" w:rsidRPr="00B817D9" w:rsidRDefault="004127BF"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art.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b)</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r w:rsidR="00523E15" w:rsidRPr="00B817D9">
              <w:rPr>
                <w:rFonts w:ascii="Times New Roman" w:hAnsi="Times New Roman"/>
                <w:sz w:val="24"/>
              </w:rPr>
              <w:t>.</w:t>
            </w:r>
          </w:p>
          <w:p w14:paraId="512D74AD" w14:textId="303A26A6" w:rsidR="00CB48CC" w:rsidRPr="00B817D9" w:rsidRDefault="00406DB7"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Rozporządzenie (UE) nr</w:t>
            </w:r>
            <w:r w:rsidR="00B817D9" w:rsidRPr="00B817D9">
              <w:rPr>
                <w:rFonts w:ascii="Times New Roman" w:hAnsi="Times New Roman"/>
                <w:sz w:val="24"/>
              </w:rPr>
              <w:t> </w:t>
            </w:r>
            <w:r w:rsidRPr="00B817D9">
              <w:rPr>
                <w:rFonts w:ascii="Times New Roman" w:hAnsi="Times New Roman"/>
                <w:sz w:val="24"/>
              </w:rPr>
              <w:t>575/2013. Należy przypomnieć, że wartości nominalnej nie można zmniejszać</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kor</w:t>
            </w:r>
            <w:r w:rsidRPr="00B817D9">
              <w:rPr>
                <w:rFonts w:ascii="Times New Roman" w:hAnsi="Times New Roman"/>
                <w:sz w:val="24"/>
              </w:rPr>
              <w:t>ekty</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szczególnego ryzyka kredytowego przed zastosowaniem współczynnika konwersji kredytowej.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ust.</w:t>
            </w:r>
            <w:r w:rsidR="00B817D9" w:rsidRPr="00B817D9">
              <w:rPr>
                <w:rFonts w:ascii="Times New Roman" w:hAnsi="Times New Roman"/>
                <w:sz w:val="24"/>
              </w:rPr>
              <w:t> </w:t>
            </w:r>
            <w:r w:rsidRPr="00B817D9">
              <w:rPr>
                <w:rFonts w:ascii="Times New Roman" w:hAnsi="Times New Roman"/>
                <w:sz w:val="24"/>
              </w:rPr>
              <w:t>2 instytucje mogą pomniejszyć ekspozycję kredytową równoważną kwocie pozycji pozabilansowej</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owiadającą wartość korekt</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szczególnego ryzyka kredytowego. Obliczenie to podlega dolnemu ograniczeniu wynoszącemu zero.</w:t>
            </w:r>
          </w:p>
          <w:p w14:paraId="116B0E4F" w14:textId="6ABDB099"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Komórka ta obejmuje instrumenty wsparcia płynności oraz inne zobowiązania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sekurytyzacji. Innymi słowy współczynnik konwersji kredytowej dla wszystkich instrumentów wsparcia płynności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255 rozporządzenia (UE) nr</w:t>
            </w:r>
            <w:r w:rsidR="00B817D9" w:rsidRPr="00B817D9">
              <w:rPr>
                <w:rFonts w:ascii="Times New Roman" w:hAnsi="Times New Roman"/>
                <w:sz w:val="24"/>
              </w:rPr>
              <w:t> </w:t>
            </w:r>
            <w:r w:rsidRPr="00B817D9">
              <w:rPr>
                <w:rFonts w:ascii="Times New Roman" w:hAnsi="Times New Roman"/>
                <w:sz w:val="24"/>
              </w:rPr>
              <w:t>575/2013 wynosi 50 % bez względu na termin zapadalności.</w:t>
            </w:r>
          </w:p>
          <w:p w14:paraId="4339295A" w14:textId="42AACF6F"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dane zobowiązanie dotyczy przedłużenia innej pozycji pozabilansowej, stosuje się niższy</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dwó</w:t>
            </w:r>
            <w:r w:rsidRPr="00B817D9">
              <w:rPr>
                <w:rFonts w:ascii="Times New Roman" w:hAnsi="Times New Roman"/>
                <w:sz w:val="24"/>
              </w:rPr>
              <w:t>ch współczynników konwersji (odpowiadających 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której zaciągane jest zobowiązanie, lub rodzajowi zaciąganego zobowiązania)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p>
          <w:p w14:paraId="6DDC311B" w14:textId="3727F78D"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sz w:val="24"/>
              </w:rPr>
              <w:t>W tej komórce instytucje nie uwzględniają umów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575/2013, kredytowych instrumentów pochodnych, SFT</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poz</w:t>
            </w:r>
            <w:r w:rsidRPr="00B817D9">
              <w:rPr>
                <w:rFonts w:ascii="Times New Roman" w:hAnsi="Times New Roman"/>
                <w:sz w:val="24"/>
              </w:rPr>
              <w:t>ycji,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429d,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rozporządzenia (UE) nr</w:t>
            </w:r>
            <w:r w:rsidR="00B817D9" w:rsidRPr="00B817D9">
              <w:rPr>
                <w:rFonts w:ascii="Times New Roman" w:hAnsi="Times New Roman"/>
                <w:sz w:val="24"/>
              </w:rPr>
              <w:t> </w:t>
            </w:r>
            <w:r w:rsidRPr="00B817D9">
              <w:rPr>
                <w:rFonts w:ascii="Times New Roman" w:hAnsi="Times New Roman"/>
                <w:sz w:val="24"/>
              </w:rPr>
              <w:t>575/2013.</w:t>
            </w:r>
          </w:p>
        </w:tc>
      </w:tr>
      <w:tr w:rsidR="00CB48CC" w:rsidRPr="00B817D9" w14:paraId="0A0BB45E" w14:textId="77777777" w:rsidTr="008979D2">
        <w:trPr>
          <w:trHeight w:val="304"/>
        </w:trPr>
        <w:tc>
          <w:tcPr>
            <w:tcW w:w="1555" w:type="dxa"/>
            <w:gridSpan w:val="2"/>
            <w:tcBorders>
              <w:bottom w:val="single" w:sz="4" w:space="0" w:color="auto"/>
            </w:tcBorders>
          </w:tcPr>
          <w:p w14:paraId="546786C4" w14:textId="1D71B0CD"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lastRenderedPageBreak/>
              <w:t>{0180;0010}</w:t>
            </w:r>
          </w:p>
          <w:p w14:paraId="22AA02FE"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E3CF710"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Pozycje pozabilansowe przy współczynniku konwersji kredytowej 100 % zgodnie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 xml:space="preserve">. 429f CRR </w:t>
            </w:r>
          </w:p>
          <w:p w14:paraId="603EE80E" w14:textId="63859D48" w:rsidR="00CB48CC" w:rsidRPr="00B817D9" w:rsidRDefault="00D3062A"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art.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r w:rsidR="00523E15" w:rsidRPr="00B817D9">
              <w:rPr>
                <w:rFonts w:ascii="Times New Roman" w:hAnsi="Times New Roman"/>
                <w:sz w:val="24"/>
              </w:rPr>
              <w:t>.</w:t>
            </w:r>
          </w:p>
          <w:p w14:paraId="02A01DC2" w14:textId="56149710" w:rsidR="00CB48CC" w:rsidRPr="00B817D9" w:rsidRDefault="00406DB7" w:rsidP="000B66BC">
            <w:pPr>
              <w:pStyle w:val="BodyText1"/>
              <w:spacing w:after="240" w:line="240" w:lineRule="auto"/>
              <w:rPr>
                <w:rFonts w:ascii="Times New Roman" w:hAnsi="Times New Roman"/>
                <w:bCs/>
                <w:sz w:val="24"/>
                <w:szCs w:val="24"/>
              </w:rPr>
            </w:pPr>
            <w:r w:rsidRPr="00B817D9">
              <w:rPr>
                <w:rFonts w:ascii="Times New Roman" w:hAnsi="Times New Roman"/>
                <w:sz w:val="24"/>
              </w:rPr>
              <w:t>Rozporządzenie (UE) nr</w:t>
            </w:r>
            <w:r w:rsidR="00B817D9" w:rsidRPr="00B817D9">
              <w:rPr>
                <w:rFonts w:ascii="Times New Roman" w:hAnsi="Times New Roman"/>
                <w:sz w:val="24"/>
              </w:rPr>
              <w:t> </w:t>
            </w:r>
            <w:r w:rsidRPr="00B817D9">
              <w:rPr>
                <w:rFonts w:ascii="Times New Roman" w:hAnsi="Times New Roman"/>
                <w:sz w:val="24"/>
              </w:rPr>
              <w:t>575/2013. Należy przypomnieć, że wartości nominalnej nie można zmniejszać</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kor</w:t>
            </w:r>
            <w:r w:rsidRPr="00B817D9">
              <w:rPr>
                <w:rFonts w:ascii="Times New Roman" w:hAnsi="Times New Roman"/>
                <w:sz w:val="24"/>
              </w:rPr>
              <w:t>ekty</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szczególnego ryzyka kredytowego przed zastosowaniem współczynnika konwersji kredytowej.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ust.</w:t>
            </w:r>
            <w:r w:rsidR="00B817D9" w:rsidRPr="00B817D9">
              <w:rPr>
                <w:rFonts w:ascii="Times New Roman" w:hAnsi="Times New Roman"/>
                <w:sz w:val="24"/>
              </w:rPr>
              <w:t> </w:t>
            </w:r>
            <w:r w:rsidRPr="00B817D9">
              <w:rPr>
                <w:rFonts w:ascii="Times New Roman" w:hAnsi="Times New Roman"/>
                <w:sz w:val="24"/>
              </w:rPr>
              <w:t>2 instytucje mogą pomniejszyć ekspozycję kredytową równoważną kwocie pozycji pozabilansowej</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owiadającą wartość korekt</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szczególnego ryzyka kredytowego. Obliczenie to podlega dolnemu ograniczeniu wynoszącemu zero.</w:t>
            </w:r>
          </w:p>
          <w:p w14:paraId="12BC0F57" w14:textId="11C2C678"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Komórka ta obejmuje instrumenty wsparcia płynności oraz inne zobowiązania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sekurytyzacji.</w:t>
            </w:r>
          </w:p>
          <w:p w14:paraId="01861A93" w14:textId="08791D8E"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dane zobowiązanie dotyczy przedłużenia innej pozycji pozabilansowej, stosuje się niższy</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dwó</w:t>
            </w:r>
            <w:r w:rsidRPr="00B817D9">
              <w:rPr>
                <w:rFonts w:ascii="Times New Roman" w:hAnsi="Times New Roman"/>
                <w:sz w:val="24"/>
              </w:rPr>
              <w:t>ch współczynników konwersji (odpowiadających 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której zaciągane jest zobowiązanie, lub rodzajowi zaciąganego zobowiązania)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p>
          <w:p w14:paraId="37DBE5CD" w14:textId="0F848E41" w:rsidR="00CB48CC" w:rsidRPr="00B817D9" w:rsidRDefault="00CB48CC" w:rsidP="000B66BC">
            <w:pPr>
              <w:pStyle w:val="BodyText1"/>
              <w:spacing w:after="240" w:line="240" w:lineRule="auto"/>
              <w:rPr>
                <w:rFonts w:ascii="Times New Roman" w:hAnsi="Times New Roman"/>
                <w:bCs/>
                <w:sz w:val="24"/>
                <w:szCs w:val="24"/>
                <w:u w:val="single"/>
              </w:rPr>
            </w:pPr>
            <w:r w:rsidRPr="00B817D9">
              <w:rPr>
                <w:rFonts w:ascii="Times New Roman" w:hAnsi="Times New Roman"/>
                <w:sz w:val="24"/>
              </w:rPr>
              <w:t>W tej komórce instytucje nie uwzględniają umów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 xml:space="preserve">575/2013, kredytowych </w:t>
            </w:r>
            <w:r w:rsidRPr="00B817D9">
              <w:rPr>
                <w:rFonts w:ascii="Times New Roman" w:hAnsi="Times New Roman"/>
                <w:sz w:val="24"/>
              </w:rPr>
              <w:lastRenderedPageBreak/>
              <w:t>instrumentów pochodnych, SFT</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poz</w:t>
            </w:r>
            <w:r w:rsidRPr="00B817D9">
              <w:rPr>
                <w:rFonts w:ascii="Times New Roman" w:hAnsi="Times New Roman"/>
                <w:sz w:val="24"/>
              </w:rPr>
              <w:t>ycji,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429d,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rozporządzenia (UE) nr</w:t>
            </w:r>
            <w:r w:rsidR="00B817D9" w:rsidRPr="00B817D9">
              <w:rPr>
                <w:rFonts w:ascii="Times New Roman" w:hAnsi="Times New Roman"/>
                <w:sz w:val="24"/>
              </w:rPr>
              <w:t> </w:t>
            </w:r>
            <w:r w:rsidRPr="00B817D9">
              <w:rPr>
                <w:rFonts w:ascii="Times New Roman" w:hAnsi="Times New Roman"/>
                <w:sz w:val="24"/>
              </w:rPr>
              <w:t>575/2013.</w:t>
            </w:r>
          </w:p>
        </w:tc>
      </w:tr>
      <w:tr w:rsidR="00CB48CC" w:rsidRPr="00B817D9"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lastRenderedPageBreak/>
              <w:t>{0181;0010}</w:t>
            </w:r>
          </w:p>
          <w:p w14:paraId="41120190"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8FE5F2E" w:rsidR="00CB48CC" w:rsidRPr="00B817D9" w:rsidRDefault="00CB48CC"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Korekty</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 xml:space="preserve">ułu ogólnego ryzyka kredytowego do pozycji pozabilansowych </w:t>
            </w:r>
          </w:p>
          <w:p w14:paraId="62AD4ABC" w14:textId="713A9816" w:rsidR="00CB48CC" w:rsidRPr="00B817D9" w:rsidRDefault="00CB48CC"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Art. 429 ust.</w:t>
            </w:r>
            <w:r w:rsidR="00B817D9" w:rsidRPr="00B817D9">
              <w:rPr>
                <w:rFonts w:ascii="Times New Roman" w:hAnsi="Times New Roman"/>
                <w:sz w:val="24"/>
              </w:rPr>
              <w:t> </w:t>
            </w:r>
            <w:r w:rsidRPr="00B817D9">
              <w:rPr>
                <w:rFonts w:ascii="Times New Roman" w:hAnsi="Times New Roman"/>
                <w:sz w:val="24"/>
              </w:rPr>
              <w:t>4 rozporządzenia (UE) nr</w:t>
            </w:r>
            <w:r w:rsidR="00B817D9" w:rsidRPr="00B817D9">
              <w:rPr>
                <w:rFonts w:ascii="Times New Roman" w:hAnsi="Times New Roman"/>
                <w:sz w:val="24"/>
              </w:rPr>
              <w:t> </w:t>
            </w:r>
            <w:r w:rsidRPr="00B817D9">
              <w:rPr>
                <w:rFonts w:ascii="Times New Roman" w:hAnsi="Times New Roman"/>
                <w:sz w:val="24"/>
              </w:rPr>
              <w:t>575/2013</w:t>
            </w:r>
          </w:p>
          <w:p w14:paraId="301E11EC" w14:textId="46552165" w:rsidR="00CB48CC" w:rsidRPr="00B817D9" w:rsidRDefault="00CB48CC" w:rsidP="000B66BC">
            <w:pPr>
              <w:pStyle w:val="BodyText1"/>
              <w:spacing w:after="240" w:line="240" w:lineRule="auto"/>
              <w:rPr>
                <w:rFonts w:ascii="Times New Roman" w:hAnsi="Times New Roman"/>
                <w:color w:val="auto"/>
                <w:sz w:val="24"/>
                <w:szCs w:val="24"/>
                <w:highlight w:val="cyan"/>
              </w:rPr>
            </w:pPr>
            <w:r w:rsidRPr="00B817D9">
              <w:rPr>
                <w:rFonts w:ascii="Times New Roman" w:hAnsi="Times New Roman"/>
                <w:sz w:val="24"/>
              </w:rPr>
              <w:t>Kwota korekt</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ogólnego ryzyka kredytowego odnoszących się do pozycji pozabilansowych,</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d), które instytucje odliczają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 ust.</w:t>
            </w:r>
            <w:r w:rsidR="00B817D9" w:rsidRPr="00B817D9">
              <w:rPr>
                <w:rFonts w:ascii="Times New Roman" w:hAnsi="Times New Roman"/>
                <w:sz w:val="24"/>
              </w:rPr>
              <w:t> </w:t>
            </w:r>
            <w:r w:rsidRPr="00B817D9">
              <w:rPr>
                <w:rFonts w:ascii="Times New Roman" w:hAnsi="Times New Roman"/>
                <w:sz w:val="24"/>
              </w:rPr>
              <w:t>4 akapit ostatni rozporządzenia (UE) nr</w:t>
            </w:r>
            <w:r w:rsidR="00B817D9" w:rsidRPr="00B817D9">
              <w:rPr>
                <w:rFonts w:ascii="Times New Roman" w:hAnsi="Times New Roman"/>
                <w:sz w:val="24"/>
              </w:rPr>
              <w:t> </w:t>
            </w:r>
            <w:r w:rsidRPr="00B817D9">
              <w:rPr>
                <w:rFonts w:ascii="Times New Roman" w:hAnsi="Times New Roman"/>
                <w:sz w:val="24"/>
              </w:rPr>
              <w:t>575/2013.</w:t>
            </w:r>
          </w:p>
          <w:p w14:paraId="2059F8B9" w14:textId="63B479A9" w:rsidR="00CB48CC" w:rsidRPr="00B817D9" w:rsidRDefault="00CB48CC" w:rsidP="0061658B">
            <w:pPr>
              <w:pStyle w:val="BodyText1"/>
              <w:spacing w:after="240"/>
              <w:rPr>
                <w:rFonts w:ascii="Times New Roman" w:hAnsi="Times New Roman"/>
                <w:color w:val="auto"/>
                <w:sz w:val="24"/>
                <w:szCs w:val="24"/>
              </w:rPr>
            </w:pPr>
            <w:r w:rsidRPr="00B817D9">
              <w:rPr>
                <w:rFonts w:ascii="Times New Roman" w:hAnsi="Times New Roman"/>
                <w:sz w:val="24"/>
              </w:rPr>
              <w:t>Zgłoszonej kwoty nie uwzględnia się jako zmniejszenia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obl</w:t>
            </w:r>
            <w:r w:rsidRPr="00B817D9">
              <w:rPr>
                <w:rFonts w:ascii="Times New Roman" w:hAnsi="Times New Roman"/>
                <w:sz w:val="24"/>
              </w:rPr>
              <w:t>iczeniu pozycji pozabilansowych zgłoszonych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rszach {0150;0010} – {0180;0010}.</w:t>
            </w:r>
          </w:p>
        </w:tc>
      </w:tr>
      <w:tr w:rsidR="00CB48CC" w:rsidRPr="00B817D9" w14:paraId="1DF5F072" w14:textId="77777777" w:rsidTr="008979D2">
        <w:trPr>
          <w:trHeight w:val="304"/>
        </w:trPr>
        <w:tc>
          <w:tcPr>
            <w:tcW w:w="1555" w:type="dxa"/>
            <w:gridSpan w:val="2"/>
            <w:tcBorders>
              <w:bottom w:val="single" w:sz="4" w:space="0" w:color="auto"/>
            </w:tcBorders>
          </w:tcPr>
          <w:p w14:paraId="581AAB63" w14:textId="5DF88AB5"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{0185;0010}</w:t>
            </w:r>
          </w:p>
          <w:p w14:paraId="122DCB6F"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15027A4A" w:rsidR="00CB48CC" w:rsidRPr="00B817D9" w:rsidRDefault="00CB48CC" w:rsidP="000B66BC">
            <w:pPr>
              <w:pStyle w:val="BodyText1"/>
              <w:spacing w:after="240" w:line="240" w:lineRule="auto"/>
              <w:rPr>
                <w:rFonts w:ascii="Times New Roman" w:hAnsi="Times New Roman"/>
                <w:b/>
                <w:bCs/>
                <w:color w:val="auto"/>
                <w:sz w:val="24"/>
                <w:szCs w:val="24"/>
              </w:rPr>
            </w:pPr>
            <w:r w:rsidRPr="00B817D9">
              <w:rPr>
                <w:rFonts w:ascii="Times New Roman" w:hAnsi="Times New Roman"/>
                <w:b/>
                <w:color w:val="auto"/>
                <w:sz w:val="24"/>
              </w:rPr>
              <w:t>Standaryzowane transakcje kupna</w:t>
            </w:r>
            <w:r w:rsidR="00B817D9" w:rsidRPr="00B817D9">
              <w:rPr>
                <w:rFonts w:ascii="Times New Roman" w:hAnsi="Times New Roman"/>
                <w:b/>
                <w:color w:val="auto"/>
                <w:sz w:val="24"/>
              </w:rPr>
              <w:t xml:space="preserve"> i</w:t>
            </w:r>
            <w:r w:rsidR="00B817D9">
              <w:rPr>
                <w:rFonts w:ascii="Times New Roman" w:hAnsi="Times New Roman"/>
                <w:b/>
                <w:color w:val="auto"/>
                <w:sz w:val="24"/>
              </w:rPr>
              <w:t> </w:t>
            </w:r>
            <w:r w:rsidR="00B817D9" w:rsidRPr="00B817D9">
              <w:rPr>
                <w:rFonts w:ascii="Times New Roman" w:hAnsi="Times New Roman"/>
                <w:b/>
                <w:color w:val="auto"/>
                <w:sz w:val="24"/>
              </w:rPr>
              <w:t>spr</w:t>
            </w:r>
            <w:r w:rsidRPr="00B817D9">
              <w:rPr>
                <w:rFonts w:ascii="Times New Roman" w:hAnsi="Times New Roman"/>
                <w:b/>
                <w:color w:val="auto"/>
                <w:sz w:val="24"/>
              </w:rPr>
              <w:t>zedaży oczekujące na rozliczenie: wartość księgowa</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uję</w:t>
            </w:r>
            <w:r w:rsidRPr="00B817D9">
              <w:rPr>
                <w:rFonts w:ascii="Times New Roman" w:hAnsi="Times New Roman"/>
                <w:b/>
                <w:color w:val="auto"/>
                <w:sz w:val="24"/>
              </w:rPr>
              <w:t xml:space="preserve">ciu na dzień zawarcia transakcji </w:t>
            </w:r>
          </w:p>
          <w:p w14:paraId="4C694246" w14:textId="2C7359E4" w:rsidR="00CB48CC" w:rsidRPr="00B817D9" w:rsidRDefault="00995F8D"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Art. 429g ust.</w:t>
            </w:r>
            <w:r w:rsidR="00B817D9" w:rsidRPr="00B817D9">
              <w:rPr>
                <w:rFonts w:ascii="Times New Roman" w:hAnsi="Times New Roman"/>
                <w:sz w:val="24"/>
              </w:rPr>
              <w:t> </w:t>
            </w:r>
            <w:r w:rsidRPr="00B817D9">
              <w:rPr>
                <w:rFonts w:ascii="Times New Roman" w:hAnsi="Times New Roman"/>
                <w:sz w:val="24"/>
              </w:rPr>
              <w:t>1 rozporządzenia (UE) nr</w:t>
            </w:r>
            <w:r w:rsidR="00B817D9" w:rsidRPr="00B817D9">
              <w:rPr>
                <w:rFonts w:ascii="Times New Roman" w:hAnsi="Times New Roman"/>
                <w:sz w:val="24"/>
              </w:rPr>
              <w:t> </w:t>
            </w:r>
            <w:r w:rsidRPr="00B817D9">
              <w:rPr>
                <w:rFonts w:ascii="Times New Roman" w:hAnsi="Times New Roman"/>
                <w:sz w:val="24"/>
              </w:rPr>
              <w:t>575/2013</w:t>
            </w:r>
          </w:p>
          <w:p w14:paraId="7D206739" w14:textId="0B1BCEAC" w:rsidR="00272017" w:rsidRPr="00B817D9" w:rsidRDefault="00272017" w:rsidP="000B66BC">
            <w:pPr>
              <w:pStyle w:val="BodyText1"/>
              <w:spacing w:after="240" w:line="240" w:lineRule="auto"/>
              <w:rPr>
                <w:rFonts w:ascii="Times New Roman" w:hAnsi="Times New Roman"/>
                <w:bCs/>
                <w:color w:val="auto"/>
                <w:sz w:val="24"/>
                <w:szCs w:val="24"/>
              </w:rPr>
            </w:pPr>
            <w:r w:rsidRPr="00B817D9">
              <w:rPr>
                <w:rFonts w:ascii="Times New Roman" w:hAnsi="Times New Roman"/>
                <w:color w:val="auto"/>
                <w:sz w:val="24"/>
              </w:rPr>
              <w:t>Jest to suma:</w:t>
            </w:r>
          </w:p>
          <w:p w14:paraId="5F24E6D9" w14:textId="6DD75A41" w:rsidR="00995F8D" w:rsidRPr="00B817D9" w:rsidRDefault="00995F8D" w:rsidP="000B66BC">
            <w:pPr>
              <w:pStyle w:val="BodyText1"/>
              <w:numPr>
                <w:ilvl w:val="0"/>
                <w:numId w:val="42"/>
              </w:numPr>
              <w:spacing w:after="240"/>
              <w:rPr>
                <w:rFonts w:ascii="Times New Roman" w:hAnsi="Times New Roman"/>
                <w:bCs/>
                <w:color w:val="auto"/>
                <w:sz w:val="24"/>
                <w:szCs w:val="24"/>
              </w:rPr>
            </w:pPr>
            <w:r w:rsidRPr="00B817D9">
              <w:rPr>
                <w:rFonts w:ascii="Times New Roman" w:hAnsi="Times New Roman"/>
                <w:sz w:val="24"/>
              </w:rPr>
              <w:t>kwoty środków pieniężnych powiązanych ze standaryzowanymi transakcjami kupna, które pozostają ujęte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jako aktywa aż do daty rozliczenia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72B0EC2C" w14:textId="5A7ECD10" w:rsidR="00995F8D" w:rsidRPr="00B817D9" w:rsidRDefault="00272017" w:rsidP="000B66BC">
            <w:pPr>
              <w:pStyle w:val="BodyText1"/>
              <w:numPr>
                <w:ilvl w:val="0"/>
                <w:numId w:val="42"/>
              </w:numPr>
              <w:spacing w:after="240"/>
              <w:rPr>
                <w:rFonts w:ascii="Times New Roman" w:hAnsi="Times New Roman"/>
                <w:bCs/>
                <w:color w:val="auto"/>
                <w:sz w:val="24"/>
                <w:szCs w:val="24"/>
              </w:rPr>
            </w:pPr>
            <w:r w:rsidRPr="00B817D9">
              <w:rPr>
                <w:rFonts w:ascii="Times New Roman" w:hAnsi="Times New Roman"/>
                <w:sz w:val="24"/>
              </w:rPr>
              <w:t>wierzytelności gotówkowych powiązanych ze standaryzowanymi transakcjami sprzedaży, które pozostają ujęte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jako aktywa aż do daty rozliczenia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r w:rsidRPr="00B817D9">
              <w:rPr>
                <w:rFonts w:ascii="Times New Roman" w:hAnsi="Times New Roman"/>
                <w:color w:val="auto"/>
                <w:sz w:val="24"/>
              </w:rPr>
              <w:t xml:space="preserve"> Kwota ta jest kwotą po uwzględnieniu wpływu kompensacji wierzytelności gotówkowych</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tyt</w:t>
            </w:r>
            <w:r w:rsidRPr="00B817D9">
              <w:rPr>
                <w:rFonts w:ascii="Times New Roman" w:hAnsi="Times New Roman"/>
                <w:color w:val="auto"/>
                <w:sz w:val="24"/>
              </w:rPr>
              <w:t>ułu standaryzowanych transakcji sprzedaży oczekujących na rozliczenie ze zobowiązaniami gotówkowymi</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tyt</w:t>
            </w:r>
            <w:r w:rsidRPr="00B817D9">
              <w:rPr>
                <w:rFonts w:ascii="Times New Roman" w:hAnsi="Times New Roman"/>
                <w:color w:val="auto"/>
                <w:sz w:val="24"/>
              </w:rPr>
              <w:t>ułu standaryzowanych transakcji kupna oczekujących na rozliczenie, dopuszczalnej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maj</w:t>
            </w:r>
            <w:r w:rsidRPr="00B817D9">
              <w:rPr>
                <w:rFonts w:ascii="Times New Roman" w:hAnsi="Times New Roman"/>
                <w:color w:val="auto"/>
                <w:sz w:val="24"/>
              </w:rPr>
              <w:t>ącymi zastosowanie standardami rachunkowości.</w:t>
            </w:r>
          </w:p>
          <w:p w14:paraId="5C35FB48" w14:textId="4166774D" w:rsidR="00CB48CC" w:rsidRPr="00B817D9" w:rsidRDefault="00272017" w:rsidP="000B66BC">
            <w:pPr>
              <w:pStyle w:val="BodyText1"/>
              <w:spacing w:after="240" w:line="240" w:lineRule="auto"/>
              <w:rPr>
                <w:rFonts w:ascii="Times New Roman" w:hAnsi="Times New Roman"/>
                <w:b/>
                <w:bCs/>
                <w:color w:val="auto"/>
                <w:sz w:val="24"/>
                <w:szCs w:val="24"/>
              </w:rPr>
            </w:pPr>
            <w:r w:rsidRPr="00B817D9">
              <w:rPr>
                <w:rFonts w:ascii="Times New Roman" w:hAnsi="Times New Roman"/>
                <w:color w:val="auto"/>
                <w:sz w:val="24"/>
              </w:rPr>
              <w:t>Instytucje, które stosują księgowanie</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uję</w:t>
            </w:r>
            <w:r w:rsidRPr="00B817D9">
              <w:rPr>
                <w:rFonts w:ascii="Times New Roman" w:hAnsi="Times New Roman"/>
                <w:color w:val="auto"/>
                <w:sz w:val="24"/>
              </w:rPr>
              <w:t>ciu na dzień zawarcia transakcji, zgłaszają powyższą sumę</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tej</w:t>
            </w:r>
            <w:r w:rsidRPr="00B817D9">
              <w:rPr>
                <w:rFonts w:ascii="Times New Roman" w:hAnsi="Times New Roman"/>
                <w:color w:val="auto"/>
                <w:sz w:val="24"/>
              </w:rPr>
              <w:t xml:space="preserve"> komórce,</w:t>
            </w:r>
            <w:r w:rsidR="00B817D9" w:rsidRPr="00B817D9">
              <w:rPr>
                <w:rFonts w:ascii="Times New Roman" w:hAnsi="Times New Roman"/>
                <w:color w:val="auto"/>
                <w:sz w:val="24"/>
              </w:rPr>
              <w:t xml:space="preserve"> a</w:t>
            </w:r>
            <w:r w:rsidR="00B817D9">
              <w:rPr>
                <w:rFonts w:ascii="Times New Roman" w:hAnsi="Times New Roman"/>
                <w:color w:val="auto"/>
                <w:sz w:val="24"/>
              </w:rPr>
              <w:t> </w:t>
            </w:r>
            <w:r w:rsidR="00B817D9" w:rsidRPr="00B817D9">
              <w:rPr>
                <w:rFonts w:ascii="Times New Roman" w:hAnsi="Times New Roman"/>
                <w:color w:val="auto"/>
                <w:sz w:val="24"/>
              </w:rPr>
              <w:t>nie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0190 „inne aktywa”, natomiast</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0190 zgłaszają papiery wartościowe powiązane ze standaryzowanymi transakcjami kupna.</w:t>
            </w:r>
          </w:p>
        </w:tc>
      </w:tr>
      <w:tr w:rsidR="00CB48CC" w:rsidRPr="00B817D9" w14:paraId="5102550B" w14:textId="77777777" w:rsidTr="008979D2">
        <w:trPr>
          <w:trHeight w:val="304"/>
        </w:trPr>
        <w:tc>
          <w:tcPr>
            <w:tcW w:w="1555" w:type="dxa"/>
            <w:gridSpan w:val="2"/>
            <w:tcBorders>
              <w:bottom w:val="single" w:sz="4" w:space="0" w:color="auto"/>
            </w:tcBorders>
          </w:tcPr>
          <w:p w14:paraId="7F15FF7B" w14:textId="4280A8CB"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{0186;0010}</w:t>
            </w:r>
          </w:p>
          <w:p w14:paraId="09F7091F"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08BB3BB0" w:rsidR="00CB48CC" w:rsidRPr="00B817D9" w:rsidRDefault="00CB48CC" w:rsidP="000B66BC">
            <w:pPr>
              <w:pStyle w:val="BodyText1"/>
              <w:spacing w:after="240" w:line="240" w:lineRule="auto"/>
              <w:rPr>
                <w:rFonts w:ascii="Times New Roman" w:hAnsi="Times New Roman"/>
                <w:b/>
                <w:bCs/>
                <w:color w:val="auto"/>
                <w:sz w:val="24"/>
                <w:szCs w:val="24"/>
              </w:rPr>
            </w:pPr>
            <w:r w:rsidRPr="00B817D9">
              <w:rPr>
                <w:rFonts w:ascii="Times New Roman" w:hAnsi="Times New Roman"/>
                <w:b/>
                <w:color w:val="auto"/>
                <w:sz w:val="24"/>
              </w:rPr>
              <w:t>Standaryzowane transakcje sprzedaży oczekujące na rozliczenie: zastosowanie storna wobec kompensowania rachunkowego</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uję</w:t>
            </w:r>
            <w:r w:rsidRPr="00B817D9">
              <w:rPr>
                <w:rFonts w:ascii="Times New Roman" w:hAnsi="Times New Roman"/>
                <w:b/>
                <w:color w:val="auto"/>
                <w:sz w:val="24"/>
              </w:rPr>
              <w:t>ciu na dzień zawarcia transakcji</w:t>
            </w:r>
          </w:p>
          <w:p w14:paraId="20327055" w14:textId="7EFB78EB" w:rsidR="00CB48CC" w:rsidRPr="00B817D9" w:rsidRDefault="00995F8D"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Art. 429g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4A0C32B6" w14:textId="056E052D" w:rsidR="002B0AAC" w:rsidRPr="00B817D9" w:rsidRDefault="00995F8D" w:rsidP="000B66BC">
            <w:pPr>
              <w:pStyle w:val="BodyText1"/>
              <w:spacing w:after="240" w:line="240" w:lineRule="auto"/>
              <w:rPr>
                <w:rFonts w:ascii="Times New Roman" w:hAnsi="Times New Roman"/>
                <w:b/>
                <w:bCs/>
                <w:color w:val="auto"/>
                <w:sz w:val="24"/>
                <w:szCs w:val="24"/>
              </w:rPr>
            </w:pPr>
            <w:r w:rsidRPr="00B817D9">
              <w:rPr>
                <w:rFonts w:ascii="Times New Roman" w:hAnsi="Times New Roman"/>
                <w:color w:val="auto"/>
                <w:sz w:val="24"/>
              </w:rPr>
              <w:lastRenderedPageBreak/>
              <w:t>Kwota kompensacji wierzytelności gotówkowych</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tyt</w:t>
            </w:r>
            <w:r w:rsidRPr="00B817D9">
              <w:rPr>
                <w:rFonts w:ascii="Times New Roman" w:hAnsi="Times New Roman"/>
                <w:color w:val="auto"/>
                <w:sz w:val="24"/>
              </w:rPr>
              <w:t>ułu standaryzowanych transakcji sprzedaży oczekujących na rozliczenie ze zobowiązaniami gotówkowymi</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tyt</w:t>
            </w:r>
            <w:r w:rsidRPr="00B817D9">
              <w:rPr>
                <w:rFonts w:ascii="Times New Roman" w:hAnsi="Times New Roman"/>
                <w:color w:val="auto"/>
                <w:sz w:val="24"/>
              </w:rPr>
              <w:t>ułu standaryzowanych transakcji kupna oczekujących na rozliczenie, dopuszczalnej zgodnie ze standardami rachunkowości.</w:t>
            </w:r>
          </w:p>
        </w:tc>
      </w:tr>
      <w:tr w:rsidR="00195426" w:rsidRPr="00B817D9" w14:paraId="78EEA43B" w14:textId="77777777" w:rsidTr="008979D2">
        <w:trPr>
          <w:trHeight w:val="304"/>
        </w:trPr>
        <w:tc>
          <w:tcPr>
            <w:tcW w:w="1555" w:type="dxa"/>
            <w:gridSpan w:val="2"/>
            <w:tcBorders>
              <w:bottom w:val="single" w:sz="4" w:space="0" w:color="auto"/>
            </w:tcBorders>
          </w:tcPr>
          <w:p w14:paraId="61857A89" w14:textId="623EBF8F" w:rsidR="00195426" w:rsidRPr="00B817D9" w:rsidRDefault="00195426" w:rsidP="000B66BC">
            <w:pPr>
              <w:pStyle w:val="BodyText1"/>
              <w:spacing w:after="240"/>
              <w:rPr>
                <w:rFonts w:ascii="Times New Roman" w:hAnsi="Times New Roman"/>
                <w:bCs/>
                <w:sz w:val="24"/>
                <w:szCs w:val="24"/>
              </w:rPr>
            </w:pPr>
            <w:r w:rsidRPr="00B817D9">
              <w:rPr>
                <w:rFonts w:ascii="Times New Roman" w:hAnsi="Times New Roman"/>
                <w:sz w:val="24"/>
              </w:rPr>
              <w:lastRenderedPageBreak/>
              <w:t>{0187;0010}</w:t>
            </w:r>
          </w:p>
          <w:p w14:paraId="58BAB70E" w14:textId="77777777" w:rsidR="00195426" w:rsidRPr="00B817D9"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5BA57259" w:rsidR="00195426" w:rsidRPr="00B817D9" w:rsidRDefault="00195426" w:rsidP="000B66BC">
            <w:pPr>
              <w:pStyle w:val="BodyText1"/>
              <w:spacing w:after="240" w:line="240" w:lineRule="auto"/>
              <w:rPr>
                <w:rFonts w:ascii="Times New Roman" w:hAnsi="Times New Roman"/>
                <w:bCs/>
                <w:sz w:val="24"/>
                <w:szCs w:val="24"/>
              </w:rPr>
            </w:pPr>
            <w:r w:rsidRPr="00B817D9">
              <w:rPr>
                <w:rFonts w:ascii="Times New Roman" w:hAnsi="Times New Roman"/>
                <w:b/>
                <w:color w:val="auto"/>
                <w:sz w:val="24"/>
              </w:rPr>
              <w:t>(-) Standaryzowane transakcje sprzedaży oczekujące na rozliczenie: kompensowane zgodnie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art</w:t>
            </w:r>
            <w:r w:rsidRPr="00B817D9">
              <w:rPr>
                <w:rFonts w:ascii="Times New Roman" w:hAnsi="Times New Roman"/>
                <w:b/>
                <w:color w:val="auto"/>
                <w:sz w:val="24"/>
              </w:rPr>
              <w:t>. 429g ust. 2 CRR</w:t>
            </w:r>
          </w:p>
          <w:p w14:paraId="416B6808" w14:textId="4F08F7EF" w:rsidR="00195426" w:rsidRPr="00B817D9" w:rsidRDefault="00195426"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Art. 429g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057F1FAB" w14:textId="38AB80C9" w:rsidR="00195426" w:rsidRPr="00B817D9" w:rsidRDefault="00195426" w:rsidP="000B66BC">
            <w:pPr>
              <w:pStyle w:val="BodyText1"/>
              <w:spacing w:after="240"/>
              <w:rPr>
                <w:rFonts w:ascii="Times New Roman" w:hAnsi="Times New Roman"/>
                <w:b/>
                <w:bCs/>
                <w:color w:val="auto"/>
                <w:sz w:val="24"/>
                <w:szCs w:val="24"/>
              </w:rPr>
            </w:pPr>
            <w:r w:rsidRPr="00B817D9">
              <w:rPr>
                <w:rFonts w:ascii="Times New Roman" w:hAnsi="Times New Roman"/>
                <w:sz w:val="24"/>
              </w:rPr>
              <w:t>Kwota kompensacji wierzytelności gotówkowych ze zobowiązaniami gotówkowymi, jeżeli zarówno odnośne standaryzowane transakcje sprzedaży, jak</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sta</w:t>
            </w:r>
            <w:r w:rsidRPr="00B817D9">
              <w:rPr>
                <w:rFonts w:ascii="Times New Roman" w:hAnsi="Times New Roman"/>
                <w:sz w:val="24"/>
              </w:rPr>
              <w:t>ndaryzowane transakcje kupna są rozliczane na podstawie mechanizmu „dostawa za płatność”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429g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tc>
      </w:tr>
      <w:tr w:rsidR="00CB48CC" w:rsidRPr="00B817D9" w14:paraId="664DB6ED" w14:textId="77777777" w:rsidTr="008979D2">
        <w:trPr>
          <w:trHeight w:val="304"/>
        </w:trPr>
        <w:tc>
          <w:tcPr>
            <w:tcW w:w="1555" w:type="dxa"/>
            <w:gridSpan w:val="2"/>
            <w:tcBorders>
              <w:bottom w:val="single" w:sz="4" w:space="0" w:color="auto"/>
            </w:tcBorders>
          </w:tcPr>
          <w:p w14:paraId="761F65B7" w14:textId="0803C63C"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{0188;0010}</w:t>
            </w:r>
          </w:p>
          <w:p w14:paraId="2D8E081B"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6833DDF5" w:rsidR="00CB48CC" w:rsidRPr="00B817D9" w:rsidRDefault="00CB48CC" w:rsidP="000B66BC">
            <w:pPr>
              <w:pStyle w:val="BodyText1"/>
              <w:spacing w:after="240" w:line="240" w:lineRule="auto"/>
              <w:rPr>
                <w:rFonts w:ascii="Times New Roman" w:hAnsi="Times New Roman"/>
                <w:b/>
                <w:bCs/>
                <w:color w:val="auto"/>
                <w:sz w:val="24"/>
                <w:szCs w:val="24"/>
              </w:rPr>
            </w:pPr>
            <w:r w:rsidRPr="00B817D9">
              <w:rPr>
                <w:rFonts w:ascii="Times New Roman" w:hAnsi="Times New Roman"/>
                <w:b/>
                <w:color w:val="auto"/>
                <w:sz w:val="24"/>
              </w:rPr>
              <w:t>Standaryzowane transakcje kupna oczekujące na rozliczenie: pełne ujęcie zobowiązań do zapłaty</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uję</w:t>
            </w:r>
            <w:r w:rsidRPr="00B817D9">
              <w:rPr>
                <w:rFonts w:ascii="Times New Roman" w:hAnsi="Times New Roman"/>
                <w:b/>
                <w:color w:val="auto"/>
                <w:sz w:val="24"/>
              </w:rPr>
              <w:t xml:space="preserve">ciu na dzień rozliczenia transakcji </w:t>
            </w:r>
          </w:p>
          <w:p w14:paraId="0305F981" w14:textId="20FC4114" w:rsidR="00CB48CC" w:rsidRPr="00B817D9" w:rsidRDefault="00195426"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Art. 429g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p>
          <w:p w14:paraId="17418655" w14:textId="313D6F89" w:rsidR="00CB48CC" w:rsidRPr="00B817D9" w:rsidRDefault="00CB48CC" w:rsidP="000B66BC">
            <w:pPr>
              <w:pStyle w:val="BodyText1"/>
              <w:spacing w:after="240"/>
              <w:rPr>
                <w:rFonts w:ascii="Times New Roman" w:hAnsi="Times New Roman"/>
                <w:bCs/>
                <w:color w:val="auto"/>
                <w:sz w:val="24"/>
                <w:szCs w:val="24"/>
              </w:rPr>
            </w:pPr>
            <w:r w:rsidRPr="00B817D9">
              <w:rPr>
                <w:rFonts w:ascii="Times New Roman" w:hAnsi="Times New Roman"/>
                <w:color w:val="auto"/>
                <w:sz w:val="24"/>
              </w:rPr>
              <w:t>Pełna wartość nominalna zobowiązań do zapłaty dotyczących standaryzowanych transakcji kupna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prz</w:t>
            </w:r>
            <w:r w:rsidRPr="00B817D9">
              <w:rPr>
                <w:rFonts w:ascii="Times New Roman" w:hAnsi="Times New Roman"/>
                <w:color w:val="auto"/>
                <w:sz w:val="24"/>
              </w:rPr>
              <w:t>ypadku instytucji, które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maj</w:t>
            </w:r>
            <w:r w:rsidRPr="00B817D9">
              <w:rPr>
                <w:rFonts w:ascii="Times New Roman" w:hAnsi="Times New Roman"/>
                <w:color w:val="auto"/>
                <w:sz w:val="24"/>
              </w:rPr>
              <w:t>ącymi zastosowanie standardami rachunkowości stosują księgowanie</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dni</w:t>
            </w:r>
            <w:r w:rsidRPr="00B817D9">
              <w:rPr>
                <w:rFonts w:ascii="Times New Roman" w:hAnsi="Times New Roman"/>
                <w:color w:val="auto"/>
                <w:sz w:val="24"/>
              </w:rPr>
              <w:t>u rozliczenia transakcji</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odn</w:t>
            </w:r>
            <w:r w:rsidRPr="00B817D9">
              <w:rPr>
                <w:rFonts w:ascii="Times New Roman" w:hAnsi="Times New Roman"/>
                <w:color w:val="auto"/>
                <w:sz w:val="24"/>
              </w:rPr>
              <w:t>iesieniu do standaryzowanych transakcji kupna</w:t>
            </w:r>
            <w:r w:rsidR="00B817D9" w:rsidRPr="00B817D9">
              <w:rPr>
                <w:rFonts w:ascii="Times New Roman" w:hAnsi="Times New Roman"/>
                <w:color w:val="auto"/>
                <w:sz w:val="24"/>
              </w:rPr>
              <w:t xml:space="preserve"> i</w:t>
            </w:r>
            <w:r w:rsidR="00B817D9">
              <w:rPr>
                <w:rFonts w:ascii="Times New Roman" w:hAnsi="Times New Roman"/>
                <w:color w:val="auto"/>
                <w:sz w:val="24"/>
              </w:rPr>
              <w:t> </w:t>
            </w:r>
            <w:r w:rsidR="00B817D9" w:rsidRPr="00B817D9">
              <w:rPr>
                <w:rFonts w:ascii="Times New Roman" w:hAnsi="Times New Roman"/>
                <w:color w:val="auto"/>
                <w:sz w:val="24"/>
              </w:rPr>
              <w:t>spr</w:t>
            </w:r>
            <w:r w:rsidRPr="00B817D9">
              <w:rPr>
                <w:rFonts w:ascii="Times New Roman" w:hAnsi="Times New Roman"/>
                <w:color w:val="auto"/>
                <w:sz w:val="24"/>
              </w:rPr>
              <w:t>zedaży oczekujących na rozliczenie.</w:t>
            </w:r>
          </w:p>
          <w:p w14:paraId="59B3EB10" w14:textId="0ABF4DB8" w:rsidR="00CB48CC" w:rsidRPr="00B817D9" w:rsidRDefault="003718C7" w:rsidP="000B66BC">
            <w:pPr>
              <w:pStyle w:val="BodyText1"/>
              <w:spacing w:after="240"/>
              <w:rPr>
                <w:rFonts w:ascii="Times New Roman" w:hAnsi="Times New Roman"/>
                <w:b/>
                <w:bCs/>
                <w:color w:val="auto"/>
                <w:sz w:val="24"/>
                <w:szCs w:val="24"/>
              </w:rPr>
            </w:pPr>
            <w:r w:rsidRPr="00B817D9">
              <w:rPr>
                <w:rFonts w:ascii="Times New Roman" w:hAnsi="Times New Roman"/>
                <w:color w:val="auto"/>
                <w:sz w:val="24"/>
              </w:rPr>
              <w:t>Papiery wartościowe powiązane ze standaryzowanymi transakcjami sprzedaży zgłasza się</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0190 „inne aktywa”.</w:t>
            </w:r>
          </w:p>
        </w:tc>
      </w:tr>
      <w:tr w:rsidR="00CB48CC" w:rsidRPr="00B817D9" w14:paraId="061A339C" w14:textId="77777777" w:rsidTr="008979D2">
        <w:trPr>
          <w:trHeight w:val="304"/>
        </w:trPr>
        <w:tc>
          <w:tcPr>
            <w:tcW w:w="1555" w:type="dxa"/>
            <w:gridSpan w:val="2"/>
            <w:tcBorders>
              <w:bottom w:val="single" w:sz="4" w:space="0" w:color="auto"/>
            </w:tcBorders>
          </w:tcPr>
          <w:p w14:paraId="4E6F9470" w14:textId="411DE5F9" w:rsidR="00974BCC" w:rsidRPr="00B817D9" w:rsidRDefault="00974BCC" w:rsidP="000B66BC">
            <w:pPr>
              <w:pStyle w:val="BodyText1"/>
              <w:spacing w:after="240"/>
              <w:rPr>
                <w:rFonts w:ascii="Times New Roman" w:hAnsi="Times New Roman"/>
                <w:bCs/>
                <w:sz w:val="24"/>
                <w:szCs w:val="24"/>
              </w:rPr>
            </w:pPr>
            <w:r w:rsidRPr="00B817D9">
              <w:rPr>
                <w:rFonts w:ascii="Times New Roman" w:hAnsi="Times New Roman"/>
                <w:sz w:val="24"/>
              </w:rPr>
              <w:t>{0189;0010}</w:t>
            </w:r>
          </w:p>
          <w:p w14:paraId="299E6D92"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FE1922A" w:rsidR="00974BCC" w:rsidRPr="00B817D9" w:rsidRDefault="00974BCC"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Standaryzowane transakcje kupna oczekujące na rozliczenie: kompensacja zobowiązań do zapłaty</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uję</w:t>
            </w:r>
            <w:r w:rsidRPr="00B817D9">
              <w:rPr>
                <w:rFonts w:ascii="Times New Roman" w:hAnsi="Times New Roman"/>
                <w:b/>
                <w:color w:val="auto"/>
                <w:sz w:val="24"/>
              </w:rPr>
              <w:t>ciu na dzień rozliczenia transakcji zgodnie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art</w:t>
            </w:r>
            <w:r w:rsidRPr="00B817D9">
              <w:rPr>
                <w:rFonts w:ascii="Times New Roman" w:hAnsi="Times New Roman"/>
                <w:b/>
                <w:color w:val="auto"/>
                <w:sz w:val="24"/>
              </w:rPr>
              <w:t>. 429g ust. 3 CRR</w:t>
            </w:r>
          </w:p>
          <w:p w14:paraId="0155689A" w14:textId="7C111AC5" w:rsidR="0049459B" w:rsidRPr="00B817D9" w:rsidRDefault="0049459B" w:rsidP="000B66BC">
            <w:pPr>
              <w:pStyle w:val="BodyText1"/>
              <w:spacing w:after="240" w:line="240" w:lineRule="auto"/>
              <w:rPr>
                <w:rFonts w:ascii="Times New Roman" w:hAnsi="Times New Roman"/>
                <w:b/>
                <w:bCs/>
                <w:sz w:val="24"/>
                <w:szCs w:val="24"/>
              </w:rPr>
            </w:pPr>
            <w:r w:rsidRPr="00B817D9">
              <w:rPr>
                <w:rFonts w:ascii="Times New Roman" w:hAnsi="Times New Roman"/>
                <w:sz w:val="24"/>
              </w:rPr>
              <w:t>Art. 429g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p>
          <w:p w14:paraId="795D29D1" w14:textId="7FE11609" w:rsidR="0049459B" w:rsidRPr="00B817D9" w:rsidRDefault="00DC3476" w:rsidP="000B66BC">
            <w:pPr>
              <w:pStyle w:val="BodyText1"/>
              <w:spacing w:after="240"/>
              <w:rPr>
                <w:rFonts w:ascii="Times New Roman" w:hAnsi="Times New Roman"/>
                <w:bCs/>
                <w:sz w:val="24"/>
                <w:szCs w:val="24"/>
              </w:rPr>
            </w:pPr>
            <w:r w:rsidRPr="00B817D9">
              <w:rPr>
                <w:rFonts w:ascii="Times New Roman" w:hAnsi="Times New Roman"/>
                <w:sz w:val="24"/>
              </w:rPr>
              <w:t>Część kwoty zgłoszonej</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rszu 0188 skompensowana przez pełną wartość nominalną wierzytelności gotówkowych powiązanych ze standaryzowanymi transakcjami sprzedaży oczekującymi na rozliczenie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429g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p>
        </w:tc>
      </w:tr>
      <w:tr w:rsidR="00CB48CC" w:rsidRPr="00B817D9" w14:paraId="7F056AC7" w14:textId="77777777" w:rsidTr="008979D2">
        <w:trPr>
          <w:trHeight w:val="304"/>
        </w:trPr>
        <w:tc>
          <w:tcPr>
            <w:tcW w:w="1555" w:type="dxa"/>
            <w:gridSpan w:val="2"/>
            <w:tcBorders>
              <w:bottom w:val="single" w:sz="4" w:space="0" w:color="auto"/>
            </w:tcBorders>
          </w:tcPr>
          <w:p w14:paraId="363AA4BD" w14:textId="49D24DA5"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{0190;0010}</w:t>
            </w:r>
          </w:p>
          <w:p w14:paraId="02CEC1ED"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 xml:space="preserve">Inne aktywa </w:t>
            </w:r>
          </w:p>
          <w:p w14:paraId="6BF56BA7" w14:textId="075ABD7D" w:rsidR="00CB48CC" w:rsidRPr="00B817D9" w:rsidRDefault="0097168A"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412FDEE7" w14:textId="602954A0"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Wszystkie aktywa inne niż kontrakty pochodne wymienione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575/2013, kredytowe instrumenty pochodne i SFT (np. aktywa, które należy zgłaszać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to m.in. wierzytelności księgowe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zmiennego depozytu zabezpieczającego przekazanego</w:t>
            </w:r>
            <w:r w:rsidR="00B817D9" w:rsidRPr="00B817D9">
              <w:rPr>
                <w:rFonts w:ascii="Times New Roman" w:hAnsi="Times New Roman"/>
                <w:sz w:val="24"/>
              </w:rPr>
              <w:t xml:space="preserve"> </w:t>
            </w:r>
            <w:r w:rsidR="00B817D9" w:rsidRPr="00B817D9">
              <w:rPr>
                <w:rFonts w:ascii="Times New Roman" w:hAnsi="Times New Roman"/>
                <w:sz w:val="24"/>
              </w:rPr>
              <w:lastRenderedPageBreak/>
              <w:t>w</w:t>
            </w:r>
            <w:r w:rsidR="00B817D9">
              <w:rPr>
                <w:rFonts w:ascii="Times New Roman" w:hAnsi="Times New Roman"/>
                <w:sz w:val="24"/>
              </w:rPr>
              <w:t> </w:t>
            </w:r>
            <w:r w:rsidR="00B817D9" w:rsidRPr="00B817D9">
              <w:rPr>
                <w:rFonts w:ascii="Times New Roman" w:hAnsi="Times New Roman"/>
                <w:sz w:val="24"/>
              </w:rPr>
              <w:t>got</w:t>
            </w:r>
            <w:r w:rsidRPr="00B817D9">
              <w:rPr>
                <w:rFonts w:ascii="Times New Roman" w:hAnsi="Times New Roman"/>
                <w:sz w:val="24"/>
              </w:rPr>
              <w:t>ówce, pod warunkiem że zostały one ujęte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obo</w:t>
            </w:r>
            <w:r w:rsidRPr="00B817D9">
              <w:rPr>
                <w:rFonts w:ascii="Times New Roman" w:hAnsi="Times New Roman"/>
                <w:sz w:val="24"/>
              </w:rPr>
              <w:t>wiązującymi standardami rachunkowości, aktywa płynne według definicji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wskaźnika pokrycia wypływów netto, transakcje niezrealizowane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rozliczone). Instytucje przeprowadzają wycenę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opa</w:t>
            </w:r>
            <w:r w:rsidRPr="00B817D9">
              <w:rPr>
                <w:rFonts w:ascii="Times New Roman" w:hAnsi="Times New Roman"/>
                <w:sz w:val="24"/>
              </w:rPr>
              <w:t>rciu</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zas</w:t>
            </w:r>
            <w:r w:rsidRPr="00B817D9">
              <w:rPr>
                <w:rFonts w:ascii="Times New Roman" w:hAnsi="Times New Roman"/>
                <w:sz w:val="24"/>
              </w:rPr>
              <w:t>ady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429b ust.</w:t>
            </w:r>
            <w:r w:rsidR="00B817D9" w:rsidRPr="00B817D9">
              <w:rPr>
                <w:rFonts w:ascii="Times New Roman" w:hAnsi="Times New Roman"/>
                <w:sz w:val="24"/>
              </w:rPr>
              <w:t> </w:t>
            </w:r>
            <w:r w:rsidRPr="00B817D9">
              <w:rPr>
                <w:rFonts w:ascii="Times New Roman" w:hAnsi="Times New Roman"/>
                <w:sz w:val="24"/>
              </w:rPr>
              <w:t>1</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 ust.</w:t>
            </w:r>
            <w:r w:rsidR="00B817D9" w:rsidRPr="00B817D9">
              <w:rPr>
                <w:rFonts w:ascii="Times New Roman" w:hAnsi="Times New Roman"/>
                <w:sz w:val="24"/>
              </w:rPr>
              <w:t> </w:t>
            </w:r>
            <w:r w:rsidRPr="00B817D9">
              <w:rPr>
                <w:rFonts w:ascii="Times New Roman" w:hAnsi="Times New Roman"/>
                <w:sz w:val="24"/>
              </w:rPr>
              <w:t>7 rozporządzenia (UE) nr</w:t>
            </w:r>
            <w:r w:rsidR="00B817D9" w:rsidRPr="00B817D9">
              <w:rPr>
                <w:rFonts w:ascii="Times New Roman" w:hAnsi="Times New Roman"/>
                <w:sz w:val="24"/>
              </w:rPr>
              <w:t> </w:t>
            </w:r>
            <w:r w:rsidRPr="00B817D9">
              <w:rPr>
                <w:rFonts w:ascii="Times New Roman" w:hAnsi="Times New Roman"/>
                <w:sz w:val="24"/>
              </w:rPr>
              <w:t>575/2013.</w:t>
            </w:r>
          </w:p>
          <w:p w14:paraId="1C53A1E2" w14:textId="323C3FBA" w:rsidR="00BA46B1"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W tej komórce instytucje uwzględniają otrzymane środki pieniężne lub wszelkie papiery wartościowe przekazane kontrahentowi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SFT</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zac</w:t>
            </w:r>
            <w:r w:rsidRPr="00B817D9">
              <w:rPr>
                <w:rFonts w:ascii="Times New Roman" w:hAnsi="Times New Roman"/>
                <w:sz w:val="24"/>
              </w:rPr>
              <w:t>howane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(tj. nie zostały spełnione kryteria rachunkowe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zak</w:t>
            </w:r>
            <w:r w:rsidRPr="00B817D9">
              <w:rPr>
                <w:rFonts w:ascii="Times New Roman" w:hAnsi="Times New Roman"/>
                <w:sz w:val="24"/>
              </w:rPr>
              <w:t>resie usunięcia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ansu). Ponadto instytucje ujmują tutaj pozycje, które odlicza się od kapitału podstawowego Tier I, pozycji kapitału dodatkowego Tier I (np. wartości niematerialne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pra</w:t>
            </w:r>
            <w:r w:rsidRPr="00B817D9">
              <w:rPr>
                <w:rFonts w:ascii="Times New Roman" w:hAnsi="Times New Roman"/>
                <w:sz w:val="24"/>
              </w:rPr>
              <w:t>wne, aktywa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odroczonego podatku dochodowego itp.).</w:t>
            </w:r>
          </w:p>
          <w:p w14:paraId="0030E8E6" w14:textId="7A618196"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Kwoty zgłoszonej</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rszu {0191;0010} nie uwzględnia się jako zmniejszenia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obl</w:t>
            </w:r>
            <w:r w:rsidRPr="00B817D9">
              <w:rPr>
                <w:rFonts w:ascii="Times New Roman" w:hAnsi="Times New Roman"/>
                <w:sz w:val="24"/>
              </w:rPr>
              <w:t>iczeniu niniejszego wiersza.</w:t>
            </w:r>
          </w:p>
          <w:p w14:paraId="52C58829" w14:textId="46A61001" w:rsidR="00CB48CC" w:rsidRPr="00B817D9" w:rsidRDefault="00CB48CC" w:rsidP="000B66BC">
            <w:pPr>
              <w:pStyle w:val="BodyText1"/>
              <w:spacing w:after="240"/>
              <w:rPr>
                <w:rFonts w:ascii="Times New Roman" w:hAnsi="Times New Roman"/>
                <w:bCs/>
                <w:sz w:val="24"/>
                <w:szCs w:val="24"/>
                <w:u w:val="single"/>
              </w:rPr>
            </w:pPr>
            <w:r w:rsidRPr="00B817D9">
              <w:rPr>
                <w:rFonts w:ascii="Times New Roman" w:hAnsi="Times New Roman"/>
                <w:sz w:val="24"/>
              </w:rPr>
              <w:t>Mechanizm łączenia środków pieniężnych zgłasza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rszach {0193;0010}, {0194;0010}, {0195;0010}, {0196;0010}, {0197;0010} i {0198;0010},</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nie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w:t>
            </w:r>
          </w:p>
        </w:tc>
      </w:tr>
      <w:tr w:rsidR="00CB48CC" w:rsidRPr="00B817D9" w14:paraId="5EC00608" w14:textId="77777777" w:rsidTr="008979D2">
        <w:trPr>
          <w:trHeight w:val="304"/>
        </w:trPr>
        <w:tc>
          <w:tcPr>
            <w:tcW w:w="1555" w:type="dxa"/>
            <w:gridSpan w:val="2"/>
            <w:tcBorders>
              <w:bottom w:val="single" w:sz="4" w:space="0" w:color="auto"/>
            </w:tcBorders>
          </w:tcPr>
          <w:p w14:paraId="0DDE44FD" w14:textId="34148683"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lastRenderedPageBreak/>
              <w:t>{0191;0010}</w:t>
            </w:r>
          </w:p>
          <w:p w14:paraId="23095895"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33F93379" w:rsidR="00CB48CC" w:rsidRPr="00B817D9" w:rsidRDefault="00CB48CC"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Korekty</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 xml:space="preserve">ułu ogólnego ryzyka kredytowego do pozycji bilansowych </w:t>
            </w:r>
          </w:p>
          <w:p w14:paraId="1CDF58F3" w14:textId="42C2ECD7" w:rsidR="00CB48CC" w:rsidRPr="00B817D9" w:rsidRDefault="00CB48CC"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Art. 429 ust.</w:t>
            </w:r>
            <w:r w:rsidR="00B817D9" w:rsidRPr="00B817D9">
              <w:rPr>
                <w:rFonts w:ascii="Times New Roman" w:hAnsi="Times New Roman"/>
                <w:sz w:val="24"/>
              </w:rPr>
              <w:t> </w:t>
            </w:r>
            <w:r w:rsidRPr="00B817D9">
              <w:rPr>
                <w:rFonts w:ascii="Times New Roman" w:hAnsi="Times New Roman"/>
                <w:sz w:val="24"/>
              </w:rPr>
              <w:t>4 rozporządzenia (UE) nr</w:t>
            </w:r>
            <w:r w:rsidR="00B817D9" w:rsidRPr="00B817D9">
              <w:rPr>
                <w:rFonts w:ascii="Times New Roman" w:hAnsi="Times New Roman"/>
                <w:sz w:val="24"/>
              </w:rPr>
              <w:t> </w:t>
            </w:r>
            <w:r w:rsidRPr="00B817D9">
              <w:rPr>
                <w:rFonts w:ascii="Times New Roman" w:hAnsi="Times New Roman"/>
                <w:sz w:val="24"/>
              </w:rPr>
              <w:t>575/2013</w:t>
            </w:r>
          </w:p>
          <w:p w14:paraId="7E1379BD" w14:textId="627A2602" w:rsidR="00CB48CC" w:rsidRPr="00B817D9" w:rsidRDefault="00CB48CC" w:rsidP="000B66BC">
            <w:pPr>
              <w:pStyle w:val="BodyText1"/>
              <w:spacing w:after="240" w:line="240" w:lineRule="auto"/>
              <w:rPr>
                <w:rFonts w:ascii="Times New Roman" w:hAnsi="Times New Roman"/>
                <w:color w:val="auto"/>
                <w:sz w:val="24"/>
                <w:szCs w:val="24"/>
                <w:highlight w:val="cyan"/>
              </w:rPr>
            </w:pPr>
            <w:r w:rsidRPr="00B817D9">
              <w:rPr>
                <w:rFonts w:ascii="Times New Roman" w:hAnsi="Times New Roman"/>
                <w:sz w:val="24"/>
              </w:rPr>
              <w:t>Kwota korekt</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ogólnego ryzyka kredytowego odnoszących się do pozycji bilansowych,</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 które instytucje odliczają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 ust.</w:t>
            </w:r>
            <w:r w:rsidR="00B817D9" w:rsidRPr="00B817D9">
              <w:rPr>
                <w:rFonts w:ascii="Times New Roman" w:hAnsi="Times New Roman"/>
                <w:sz w:val="24"/>
              </w:rPr>
              <w:t> </w:t>
            </w:r>
            <w:r w:rsidRPr="00B817D9">
              <w:rPr>
                <w:rFonts w:ascii="Times New Roman" w:hAnsi="Times New Roman"/>
                <w:sz w:val="24"/>
              </w:rPr>
              <w:t>4 akapit ostatni rozporządzenia (UE) nr</w:t>
            </w:r>
            <w:r w:rsidR="00B817D9" w:rsidRPr="00B817D9">
              <w:rPr>
                <w:rFonts w:ascii="Times New Roman" w:hAnsi="Times New Roman"/>
                <w:sz w:val="24"/>
              </w:rPr>
              <w:t> </w:t>
            </w:r>
            <w:r w:rsidRPr="00B817D9">
              <w:rPr>
                <w:rFonts w:ascii="Times New Roman" w:hAnsi="Times New Roman"/>
                <w:sz w:val="24"/>
              </w:rPr>
              <w:t>575/2013.</w:t>
            </w:r>
          </w:p>
          <w:p w14:paraId="58EB87A7" w14:textId="65B1ADE8" w:rsidR="00CB48CC" w:rsidRPr="00B817D9" w:rsidRDefault="00CB48CC"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Zgłoszonej kwoty nie uwzględnia się jako zmniejszenia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obl</w:t>
            </w:r>
            <w:r w:rsidRPr="00B817D9">
              <w:rPr>
                <w:rFonts w:ascii="Times New Roman" w:hAnsi="Times New Roman"/>
                <w:sz w:val="24"/>
              </w:rPr>
              <w:t>iczeniu innych aktywów zgłoszonych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rszu {0190;0010}.</w:t>
            </w:r>
          </w:p>
        </w:tc>
      </w:tr>
      <w:tr w:rsidR="006E0322" w:rsidRPr="00B817D9" w14:paraId="2DB04EEA" w14:textId="77777777" w:rsidTr="008979D2">
        <w:trPr>
          <w:trHeight w:val="304"/>
        </w:trPr>
        <w:tc>
          <w:tcPr>
            <w:tcW w:w="1555" w:type="dxa"/>
            <w:gridSpan w:val="2"/>
            <w:tcBorders>
              <w:bottom w:val="single" w:sz="4" w:space="0" w:color="auto"/>
            </w:tcBorders>
          </w:tcPr>
          <w:p w14:paraId="07B43E1F" w14:textId="12AF740D" w:rsidR="006E0322" w:rsidRPr="00B817D9" w:rsidRDefault="006E0322" w:rsidP="000B66BC">
            <w:pPr>
              <w:pStyle w:val="BodyText1"/>
              <w:spacing w:after="240"/>
              <w:rPr>
                <w:rFonts w:ascii="Times New Roman" w:hAnsi="Times New Roman"/>
                <w:bCs/>
                <w:sz w:val="24"/>
                <w:szCs w:val="24"/>
              </w:rPr>
            </w:pPr>
            <w:r w:rsidRPr="00B817D9">
              <w:rPr>
                <w:rFonts w:ascii="Times New Roman" w:hAnsi="Times New Roman"/>
                <w:sz w:val="24"/>
              </w:rPr>
              <w:t>{0193;0010}</w:t>
            </w:r>
          </w:p>
          <w:p w14:paraId="28BFDD3E" w14:textId="77777777" w:rsidR="006E0322" w:rsidRPr="00B817D9"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B817D9" w:rsidRDefault="00103B23"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Uzgodnienia dotyczące łączenia środków pieniężnych, których nie można kompensować pod względem ostrożnościowym: wartość zgodnie ze standardami rachunkowości</w:t>
            </w:r>
          </w:p>
          <w:p w14:paraId="01265E9F" w14:textId="372A21DD" w:rsidR="00103B23" w:rsidRPr="00B817D9" w:rsidRDefault="009F6A59"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Art. 429b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421B559D" w14:textId="396EAC77" w:rsidR="006E0322" w:rsidRPr="00B817D9" w:rsidRDefault="00103B23" w:rsidP="000B66BC">
            <w:pPr>
              <w:pStyle w:val="BodyText1"/>
              <w:spacing w:after="240" w:line="240" w:lineRule="auto"/>
              <w:rPr>
                <w:rFonts w:ascii="Times New Roman" w:hAnsi="Times New Roman"/>
                <w:b/>
                <w:color w:val="auto"/>
                <w:sz w:val="24"/>
                <w:szCs w:val="24"/>
              </w:rPr>
            </w:pPr>
            <w:r w:rsidRPr="00B817D9">
              <w:rPr>
                <w:rFonts w:ascii="Times New Roman" w:hAnsi="Times New Roman"/>
                <w:sz w:val="24"/>
              </w:rPr>
              <w:t>Wartość księgowa mechanizmu łączenia środków pieniężnych, tj. mechanizmu,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rym salda kredytowe lub debetowe kilku jednostkowych rachunków łączy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cel</w:t>
            </w:r>
            <w:r w:rsidRPr="00B817D9">
              <w:rPr>
                <w:rFonts w:ascii="Times New Roman" w:hAnsi="Times New Roman"/>
                <w:sz w:val="24"/>
              </w:rPr>
              <w:t>u zarządzania środkami pieniężnymi lub zarządzania płynnością, którego nie można kompensować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429b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tc>
      </w:tr>
      <w:tr w:rsidR="00CB48CC" w:rsidRPr="00B817D9" w14:paraId="26F15125" w14:textId="77777777" w:rsidTr="008979D2">
        <w:trPr>
          <w:trHeight w:val="304"/>
        </w:trPr>
        <w:tc>
          <w:tcPr>
            <w:tcW w:w="1555" w:type="dxa"/>
            <w:gridSpan w:val="2"/>
            <w:tcBorders>
              <w:bottom w:val="single" w:sz="4" w:space="0" w:color="auto"/>
            </w:tcBorders>
          </w:tcPr>
          <w:p w14:paraId="5FD0298B" w14:textId="2215C91C"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{0194;0010}</w:t>
            </w:r>
          </w:p>
          <w:p w14:paraId="4FD69EB9"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3531ABC3" w:rsidR="00103B23" w:rsidRPr="00B817D9" w:rsidRDefault="00CB48CC"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lastRenderedPageBreak/>
              <w:t xml:space="preserve">Uzgodnienia dotyczące łączenia środków pieniężnych, których nie można kompensować pod względem ostrożnościowym: efekt </w:t>
            </w:r>
            <w:r w:rsidRPr="00B817D9">
              <w:rPr>
                <w:rFonts w:ascii="Times New Roman" w:hAnsi="Times New Roman"/>
                <w:b/>
                <w:color w:val="auto"/>
                <w:sz w:val="24"/>
              </w:rPr>
              <w:lastRenderedPageBreak/>
              <w:t>ubruttowienia kompensowania zastosowanego</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sta</w:t>
            </w:r>
            <w:r w:rsidRPr="00B817D9">
              <w:rPr>
                <w:rFonts w:ascii="Times New Roman" w:hAnsi="Times New Roman"/>
                <w:b/>
                <w:color w:val="auto"/>
                <w:sz w:val="24"/>
              </w:rPr>
              <w:t>ndardach rachunkowości</w:t>
            </w:r>
          </w:p>
          <w:p w14:paraId="390CF1DE" w14:textId="42465AF8" w:rsidR="00CB48CC" w:rsidRPr="00B817D9" w:rsidRDefault="00CB48CC"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Art. 429 ust.</w:t>
            </w:r>
            <w:r w:rsidR="00B817D9" w:rsidRPr="00B817D9">
              <w:rPr>
                <w:rFonts w:ascii="Times New Roman" w:hAnsi="Times New Roman"/>
                <w:sz w:val="24"/>
              </w:rPr>
              <w:t> </w:t>
            </w:r>
            <w:r w:rsidRPr="00B817D9">
              <w:rPr>
                <w:rFonts w:ascii="Times New Roman" w:hAnsi="Times New Roman"/>
                <w:sz w:val="24"/>
              </w:rPr>
              <w:t>7 lit.</w:t>
            </w:r>
            <w:r w:rsidR="00B817D9" w:rsidRPr="00B817D9">
              <w:rPr>
                <w:rFonts w:ascii="Times New Roman" w:hAnsi="Times New Roman"/>
                <w:sz w:val="24"/>
              </w:rPr>
              <w:t> </w:t>
            </w:r>
            <w:r w:rsidRPr="00B817D9">
              <w:rPr>
                <w:rFonts w:ascii="Times New Roman" w:hAnsi="Times New Roman"/>
                <w:sz w:val="24"/>
              </w:rPr>
              <w:t>b)</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429b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7AC9B352" w14:textId="7089F6C1" w:rsidR="00CB48CC" w:rsidRPr="00B817D9" w:rsidRDefault="00103B23" w:rsidP="000B66BC">
            <w:pPr>
              <w:pStyle w:val="BodyText1"/>
              <w:spacing w:after="240" w:line="240" w:lineRule="auto"/>
              <w:rPr>
                <w:rFonts w:ascii="Times New Roman" w:hAnsi="Times New Roman"/>
                <w:b/>
                <w:bCs/>
                <w:color w:val="auto"/>
                <w:sz w:val="24"/>
                <w:szCs w:val="24"/>
              </w:rPr>
            </w:pPr>
            <w:r w:rsidRPr="00B817D9">
              <w:rPr>
                <w:rFonts w:ascii="Times New Roman" w:hAnsi="Times New Roman"/>
                <w:color w:val="auto"/>
                <w:sz w:val="24"/>
              </w:rPr>
              <w:t>Kwota skompensowana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maj</w:t>
            </w:r>
            <w:r w:rsidRPr="00B817D9">
              <w:rPr>
                <w:rFonts w:ascii="Times New Roman" w:hAnsi="Times New Roman"/>
                <w:color w:val="auto"/>
                <w:sz w:val="24"/>
              </w:rPr>
              <w:t>ącymi zastosowanie standardami rachunkowości</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zak</w:t>
            </w:r>
            <w:r w:rsidRPr="00B817D9">
              <w:rPr>
                <w:rFonts w:ascii="Times New Roman" w:hAnsi="Times New Roman"/>
                <w:color w:val="auto"/>
                <w:sz w:val="24"/>
              </w:rPr>
              <w:t>resie mechanizmu łączenia środków pieniężnych, którego nie można kompensować ostrożnościowo, zgłoszona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{0193;0010}.</w:t>
            </w:r>
          </w:p>
        </w:tc>
      </w:tr>
      <w:tr w:rsidR="00CB48CC" w:rsidRPr="00B817D9" w14:paraId="751549C0" w14:textId="77777777" w:rsidTr="008979D2">
        <w:trPr>
          <w:trHeight w:val="304"/>
        </w:trPr>
        <w:tc>
          <w:tcPr>
            <w:tcW w:w="1555" w:type="dxa"/>
            <w:gridSpan w:val="2"/>
            <w:tcBorders>
              <w:bottom w:val="single" w:sz="4" w:space="0" w:color="auto"/>
            </w:tcBorders>
          </w:tcPr>
          <w:p w14:paraId="12C2B1C4" w14:textId="60D4BAFE" w:rsidR="00974BCC" w:rsidRPr="00B817D9" w:rsidRDefault="00974BCC" w:rsidP="000B66BC">
            <w:pPr>
              <w:pStyle w:val="BodyText1"/>
              <w:spacing w:after="240"/>
              <w:rPr>
                <w:rFonts w:ascii="Times New Roman" w:hAnsi="Times New Roman"/>
                <w:bCs/>
                <w:sz w:val="24"/>
                <w:szCs w:val="24"/>
              </w:rPr>
            </w:pPr>
            <w:r w:rsidRPr="00B817D9">
              <w:rPr>
                <w:rFonts w:ascii="Times New Roman" w:hAnsi="Times New Roman"/>
                <w:sz w:val="24"/>
              </w:rPr>
              <w:lastRenderedPageBreak/>
              <w:t>{0195;0010}</w:t>
            </w:r>
          </w:p>
          <w:p w14:paraId="522A5DF4"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B817D9" w:rsidRDefault="00CB48CC"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Uzgodnienia dotyczące łączenia środków pieniężnych, które można kompensować pod względem ostrożnościowym: wartość zgodnie ze standardami rachunkowości</w:t>
            </w:r>
          </w:p>
          <w:p w14:paraId="444FD556" w14:textId="6D11505D" w:rsidR="00CB48CC" w:rsidRPr="00B817D9" w:rsidRDefault="0073197F"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Art. 429b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5FF92BE1" w14:textId="71664AD8" w:rsidR="00CB48CC" w:rsidRPr="00B817D9" w:rsidRDefault="00CB48CC"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Wartość księgowa mechanizmu łączenia środków pieniężnych, tj. mechanizmu,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rym salda kredytowe lub debetowe kilku jednostkowych rachunków łączy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cel</w:t>
            </w:r>
            <w:r w:rsidRPr="00B817D9">
              <w:rPr>
                <w:rFonts w:ascii="Times New Roman" w:hAnsi="Times New Roman"/>
                <w:sz w:val="24"/>
              </w:rPr>
              <w:t>u zarządzania środkami pieniężnymi lub zarządzania płynnością, który można kompensować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429b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tc>
      </w:tr>
      <w:tr w:rsidR="00CB48CC" w:rsidRPr="00B817D9" w14:paraId="0FD5A27F" w14:textId="77777777" w:rsidTr="008979D2">
        <w:trPr>
          <w:trHeight w:val="304"/>
        </w:trPr>
        <w:tc>
          <w:tcPr>
            <w:tcW w:w="1555" w:type="dxa"/>
            <w:gridSpan w:val="2"/>
            <w:tcBorders>
              <w:bottom w:val="single" w:sz="4" w:space="0" w:color="auto"/>
            </w:tcBorders>
          </w:tcPr>
          <w:p w14:paraId="4CBB43FC" w14:textId="18B8DCAA"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{0196;0010}</w:t>
            </w:r>
          </w:p>
          <w:p w14:paraId="472BF07D"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1B049335" w:rsidR="00CB48CC" w:rsidRPr="00B817D9" w:rsidRDefault="00CB48CC"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Uzgodnienia dotyczące łączenia środków pieniężnych, które można kompensować pod względem ostrożnościowym: efekt ubruttowienia kompensowania zastosowanego</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sta</w:t>
            </w:r>
            <w:r w:rsidRPr="00B817D9">
              <w:rPr>
                <w:rFonts w:ascii="Times New Roman" w:hAnsi="Times New Roman"/>
                <w:b/>
                <w:color w:val="auto"/>
                <w:sz w:val="24"/>
              </w:rPr>
              <w:t>ndardach rachunkowości</w:t>
            </w:r>
          </w:p>
          <w:p w14:paraId="770F0F10" w14:textId="1010450D" w:rsidR="00CB48CC" w:rsidRPr="00B817D9" w:rsidRDefault="009F6A59"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Art. 429b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4F594E25" w14:textId="116CE0B7" w:rsidR="00864866" w:rsidRPr="00B817D9" w:rsidRDefault="00CB48CC" w:rsidP="000B66BC">
            <w:pPr>
              <w:pStyle w:val="BodyText1"/>
              <w:spacing w:after="240"/>
              <w:rPr>
                <w:rFonts w:ascii="Times New Roman" w:hAnsi="Times New Roman"/>
                <w:color w:val="auto"/>
                <w:sz w:val="24"/>
                <w:szCs w:val="24"/>
              </w:rPr>
            </w:pPr>
            <w:r w:rsidRPr="00B817D9">
              <w:rPr>
                <w:rFonts w:ascii="Times New Roman" w:hAnsi="Times New Roman"/>
                <w:color w:val="auto"/>
                <w:sz w:val="24"/>
              </w:rPr>
              <w:t>Kwota skompensowana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maj</w:t>
            </w:r>
            <w:r w:rsidRPr="00B817D9">
              <w:rPr>
                <w:rFonts w:ascii="Times New Roman" w:hAnsi="Times New Roman"/>
                <w:color w:val="auto"/>
                <w:sz w:val="24"/>
              </w:rPr>
              <w:t>ącymi zastosowanie standardami rachunkowości</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zak</w:t>
            </w:r>
            <w:r w:rsidRPr="00B817D9">
              <w:rPr>
                <w:rFonts w:ascii="Times New Roman" w:hAnsi="Times New Roman"/>
                <w:color w:val="auto"/>
                <w:sz w:val="24"/>
              </w:rPr>
              <w:t>resie mechanizmu łączenia środków pieniężnych, który można kompensować ostrożnościowo, zgłoszona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{0195;0010}.</w:t>
            </w:r>
          </w:p>
          <w:p w14:paraId="14E77DE6" w14:textId="43545B77" w:rsidR="00CB48CC" w:rsidRPr="00B817D9" w:rsidRDefault="00166A6F" w:rsidP="000B66BC">
            <w:pPr>
              <w:pStyle w:val="BodyText1"/>
              <w:spacing w:after="240"/>
              <w:rPr>
                <w:rFonts w:ascii="Times New Roman" w:hAnsi="Times New Roman"/>
                <w:color w:val="auto"/>
                <w:sz w:val="24"/>
                <w:szCs w:val="24"/>
              </w:rPr>
            </w:pPr>
            <w:r w:rsidRPr="00B817D9">
              <w:rPr>
                <w:rFonts w:ascii="Times New Roman" w:hAnsi="Times New Roman"/>
                <w:color w:val="auto"/>
                <w:sz w:val="24"/>
              </w:rPr>
              <w:t>Jeżeli instytucja spełnia warunki przewidziane</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art</w:t>
            </w:r>
            <w:r w:rsidRPr="00B817D9">
              <w:rPr>
                <w:rFonts w:ascii="Times New Roman" w:hAnsi="Times New Roman"/>
                <w:color w:val="auto"/>
                <w:sz w:val="24"/>
              </w:rPr>
              <w:t>.</w:t>
            </w:r>
            <w:r w:rsidR="00B817D9" w:rsidRPr="00B817D9">
              <w:rPr>
                <w:rFonts w:ascii="Times New Roman" w:hAnsi="Times New Roman"/>
                <w:color w:val="auto"/>
                <w:sz w:val="24"/>
              </w:rPr>
              <w:t> </w:t>
            </w:r>
            <w:r w:rsidRPr="00B817D9">
              <w:rPr>
                <w:rFonts w:ascii="Times New Roman" w:hAnsi="Times New Roman"/>
                <w:color w:val="auto"/>
                <w:sz w:val="24"/>
              </w:rPr>
              <w:t>429b ust.</w:t>
            </w:r>
            <w:r w:rsidR="00B817D9" w:rsidRPr="00B817D9">
              <w:rPr>
                <w:rFonts w:ascii="Times New Roman" w:hAnsi="Times New Roman"/>
                <w:color w:val="auto"/>
                <w:sz w:val="24"/>
              </w:rPr>
              <w:t> </w:t>
            </w:r>
            <w:r w:rsidRPr="00B817D9">
              <w:rPr>
                <w:rFonts w:ascii="Times New Roman" w:hAnsi="Times New Roman"/>
                <w:color w:val="auto"/>
                <w:sz w:val="24"/>
              </w:rPr>
              <w:t>2 lit.</w:t>
            </w:r>
            <w:r w:rsidR="00B817D9" w:rsidRPr="00B817D9">
              <w:rPr>
                <w:rFonts w:ascii="Times New Roman" w:hAnsi="Times New Roman"/>
                <w:color w:val="auto"/>
                <w:sz w:val="24"/>
              </w:rPr>
              <w:t> </w:t>
            </w:r>
            <w:r w:rsidRPr="00B817D9">
              <w:rPr>
                <w:rFonts w:ascii="Times New Roman" w:hAnsi="Times New Roman"/>
                <w:color w:val="auto"/>
                <w:sz w:val="24"/>
              </w:rPr>
              <w:t>b),</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tym</w:t>
            </w:r>
            <w:r w:rsidRPr="00B817D9">
              <w:rPr>
                <w:rFonts w:ascii="Times New Roman" w:hAnsi="Times New Roman"/>
                <w:color w:val="auto"/>
                <w:sz w:val="24"/>
              </w:rPr>
              <w:t xml:space="preserve"> wierszu nie stosuje ubruttowienia do sald rozwiązanych na podstawie procesu określonego</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art</w:t>
            </w:r>
            <w:r w:rsidRPr="00B817D9">
              <w:rPr>
                <w:rFonts w:ascii="Times New Roman" w:hAnsi="Times New Roman"/>
                <w:color w:val="auto"/>
                <w:sz w:val="24"/>
              </w:rPr>
              <w:t>.</w:t>
            </w:r>
            <w:r w:rsidR="00B817D9" w:rsidRPr="00B817D9">
              <w:rPr>
                <w:rFonts w:ascii="Times New Roman" w:hAnsi="Times New Roman"/>
                <w:color w:val="auto"/>
                <w:sz w:val="24"/>
              </w:rPr>
              <w:t> </w:t>
            </w:r>
            <w:r w:rsidRPr="00B817D9">
              <w:rPr>
                <w:rFonts w:ascii="Times New Roman" w:hAnsi="Times New Roman"/>
                <w:color w:val="auto"/>
                <w:sz w:val="24"/>
              </w:rPr>
              <w:t>429b ust.</w:t>
            </w:r>
            <w:r w:rsidR="00B817D9" w:rsidRPr="00B817D9">
              <w:rPr>
                <w:rFonts w:ascii="Times New Roman" w:hAnsi="Times New Roman"/>
                <w:color w:val="auto"/>
                <w:sz w:val="24"/>
              </w:rPr>
              <w:t> </w:t>
            </w:r>
            <w:r w:rsidRPr="00B817D9">
              <w:rPr>
                <w:rFonts w:ascii="Times New Roman" w:hAnsi="Times New Roman"/>
                <w:color w:val="auto"/>
                <w:sz w:val="24"/>
              </w:rPr>
              <w:t>2 lit.</w:t>
            </w:r>
            <w:r w:rsidR="00B817D9" w:rsidRPr="00B817D9">
              <w:rPr>
                <w:rFonts w:ascii="Times New Roman" w:hAnsi="Times New Roman"/>
                <w:color w:val="auto"/>
                <w:sz w:val="24"/>
              </w:rPr>
              <w:t> </w:t>
            </w:r>
            <w:r w:rsidRPr="00B817D9">
              <w:rPr>
                <w:rFonts w:ascii="Times New Roman" w:hAnsi="Times New Roman"/>
                <w:color w:val="auto"/>
                <w:sz w:val="24"/>
              </w:rPr>
              <w:t>a).</w:t>
            </w:r>
          </w:p>
        </w:tc>
      </w:tr>
      <w:tr w:rsidR="00CB48CC" w:rsidRPr="00B817D9" w14:paraId="6C598455" w14:textId="77777777" w:rsidTr="008979D2">
        <w:trPr>
          <w:trHeight w:val="304"/>
        </w:trPr>
        <w:tc>
          <w:tcPr>
            <w:tcW w:w="1555" w:type="dxa"/>
            <w:gridSpan w:val="2"/>
            <w:tcBorders>
              <w:bottom w:val="single" w:sz="4" w:space="0" w:color="auto"/>
            </w:tcBorders>
          </w:tcPr>
          <w:p w14:paraId="11C78F9F" w14:textId="649683AF"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{0197;0010}</w:t>
            </w:r>
          </w:p>
          <w:p w14:paraId="2FDD840E"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40B0CA36" w:rsidR="00CB48CC" w:rsidRPr="00B817D9" w:rsidRDefault="00CB48CC"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Uzgodnienia dotyczące łączenia środków pieniężnych, które można kompensować pod względem ostrożnościowym: uznawanie kompensowania zgodnie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art</w:t>
            </w:r>
            <w:r w:rsidRPr="00B817D9">
              <w:rPr>
                <w:rFonts w:ascii="Times New Roman" w:hAnsi="Times New Roman"/>
                <w:b/>
                <w:color w:val="auto"/>
                <w:sz w:val="24"/>
              </w:rPr>
              <w:t>.</w:t>
            </w:r>
            <w:r w:rsidR="00B817D9" w:rsidRPr="00B817D9">
              <w:rPr>
                <w:rFonts w:ascii="Times New Roman" w:hAnsi="Times New Roman"/>
                <w:b/>
                <w:color w:val="auto"/>
                <w:sz w:val="24"/>
              </w:rPr>
              <w:t> </w:t>
            </w:r>
            <w:r w:rsidRPr="00B817D9">
              <w:rPr>
                <w:rFonts w:ascii="Times New Roman" w:hAnsi="Times New Roman"/>
                <w:b/>
                <w:color w:val="auto"/>
                <w:sz w:val="24"/>
              </w:rPr>
              <w:t>429b ust.</w:t>
            </w:r>
            <w:r w:rsidR="00B817D9" w:rsidRPr="00B817D9">
              <w:rPr>
                <w:rFonts w:ascii="Times New Roman" w:hAnsi="Times New Roman"/>
                <w:b/>
                <w:color w:val="auto"/>
                <w:sz w:val="24"/>
              </w:rPr>
              <w:t> </w:t>
            </w:r>
            <w:r w:rsidRPr="00B817D9">
              <w:rPr>
                <w:rFonts w:ascii="Times New Roman" w:hAnsi="Times New Roman"/>
                <w:b/>
                <w:color w:val="auto"/>
                <w:sz w:val="24"/>
              </w:rPr>
              <w:t>2 CRR</w:t>
            </w:r>
          </w:p>
          <w:p w14:paraId="52C1DAD6" w14:textId="38F8BEFB" w:rsidR="00CB48CC" w:rsidRPr="00B817D9" w:rsidRDefault="00CB48CC"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Art. 429b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6514DC6F" w14:textId="308973EE" w:rsidR="00CB48CC" w:rsidRPr="00B817D9" w:rsidRDefault="00CB48CC" w:rsidP="000B66BC">
            <w:pPr>
              <w:pStyle w:val="BodyText1"/>
              <w:spacing w:after="240" w:line="240" w:lineRule="auto"/>
              <w:rPr>
                <w:rFonts w:ascii="Times New Roman" w:hAnsi="Times New Roman"/>
                <w:b/>
                <w:bCs/>
                <w:color w:val="auto"/>
                <w:sz w:val="24"/>
                <w:szCs w:val="24"/>
              </w:rPr>
            </w:pPr>
            <w:r w:rsidRPr="00B817D9">
              <w:rPr>
                <w:rFonts w:ascii="Times New Roman" w:hAnsi="Times New Roman"/>
                <w:color w:val="auto"/>
                <w:sz w:val="24"/>
              </w:rPr>
              <w:t>Kwota skompensowana</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eks</w:t>
            </w:r>
            <w:r w:rsidRPr="00B817D9">
              <w:rPr>
                <w:rFonts w:ascii="Times New Roman" w:hAnsi="Times New Roman"/>
                <w:color w:val="auto"/>
                <w:sz w:val="24"/>
              </w:rPr>
              <w:t>pozycji brutto związanych</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mec</w:t>
            </w:r>
            <w:r w:rsidRPr="00B817D9">
              <w:rPr>
                <w:rFonts w:ascii="Times New Roman" w:hAnsi="Times New Roman"/>
                <w:color w:val="auto"/>
                <w:sz w:val="24"/>
              </w:rPr>
              <w:t>hanizmem łączenia środków pieniężnych (suma wierszy 0195</w:t>
            </w:r>
            <w:r w:rsidR="00B817D9" w:rsidRPr="00B817D9">
              <w:rPr>
                <w:rFonts w:ascii="Times New Roman" w:hAnsi="Times New Roman"/>
                <w:color w:val="auto"/>
                <w:sz w:val="24"/>
              </w:rPr>
              <w:t xml:space="preserve"> i</w:t>
            </w:r>
            <w:r w:rsidR="00B817D9">
              <w:rPr>
                <w:rFonts w:ascii="Times New Roman" w:hAnsi="Times New Roman"/>
                <w:color w:val="auto"/>
                <w:sz w:val="24"/>
              </w:rPr>
              <w:t> </w:t>
            </w:r>
            <w:r w:rsidR="00B817D9" w:rsidRPr="00B817D9">
              <w:rPr>
                <w:rFonts w:ascii="Times New Roman" w:hAnsi="Times New Roman"/>
                <w:color w:val="auto"/>
                <w:sz w:val="24"/>
              </w:rPr>
              <w:t>0</w:t>
            </w:r>
            <w:r w:rsidRPr="00B817D9">
              <w:rPr>
                <w:rFonts w:ascii="Times New Roman" w:hAnsi="Times New Roman"/>
                <w:color w:val="auto"/>
                <w:sz w:val="24"/>
              </w:rPr>
              <w:t>196)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art</w:t>
            </w:r>
            <w:r w:rsidRPr="00B817D9">
              <w:rPr>
                <w:rFonts w:ascii="Times New Roman" w:hAnsi="Times New Roman"/>
                <w:color w:val="auto"/>
                <w:sz w:val="24"/>
              </w:rPr>
              <w:t>.</w:t>
            </w:r>
            <w:r w:rsidR="00B817D9" w:rsidRPr="00B817D9">
              <w:rPr>
                <w:rFonts w:ascii="Times New Roman" w:hAnsi="Times New Roman"/>
                <w:color w:val="auto"/>
                <w:sz w:val="24"/>
              </w:rPr>
              <w:t> </w:t>
            </w:r>
            <w:r w:rsidRPr="00B817D9">
              <w:rPr>
                <w:rFonts w:ascii="Times New Roman" w:hAnsi="Times New Roman"/>
                <w:color w:val="auto"/>
                <w:sz w:val="24"/>
              </w:rPr>
              <w:t>429b ust.</w:t>
            </w:r>
            <w:r w:rsidR="00B817D9" w:rsidRPr="00B817D9">
              <w:rPr>
                <w:rFonts w:ascii="Times New Roman" w:hAnsi="Times New Roman"/>
                <w:color w:val="auto"/>
                <w:sz w:val="24"/>
              </w:rPr>
              <w:t> </w:t>
            </w:r>
            <w:r w:rsidRPr="00B817D9">
              <w:rPr>
                <w:rFonts w:ascii="Times New Roman" w:hAnsi="Times New Roman"/>
                <w:color w:val="auto"/>
                <w:sz w:val="24"/>
              </w:rPr>
              <w:t>2.</w:t>
            </w:r>
          </w:p>
        </w:tc>
      </w:tr>
      <w:tr w:rsidR="00CB48CC" w:rsidRPr="00B817D9" w14:paraId="6681A527" w14:textId="77777777" w:rsidTr="008979D2">
        <w:trPr>
          <w:trHeight w:val="304"/>
        </w:trPr>
        <w:tc>
          <w:tcPr>
            <w:tcW w:w="1555" w:type="dxa"/>
            <w:gridSpan w:val="2"/>
            <w:tcBorders>
              <w:bottom w:val="single" w:sz="4" w:space="0" w:color="auto"/>
            </w:tcBorders>
          </w:tcPr>
          <w:p w14:paraId="4136B44E" w14:textId="263B95A4"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{0198;0010}</w:t>
            </w:r>
          </w:p>
          <w:p w14:paraId="6AAFDEE3"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1C46BAF5" w:rsidR="00CB48CC" w:rsidRPr="00B817D9" w:rsidRDefault="00CB48CC"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Uzgodnienia dotyczące łączenia środków pieniężnych, które można kompensować pod względem ostrożnościowym: uznawanie kompensowania zgodnie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art</w:t>
            </w:r>
            <w:r w:rsidRPr="00B817D9">
              <w:rPr>
                <w:rFonts w:ascii="Times New Roman" w:hAnsi="Times New Roman"/>
                <w:b/>
                <w:color w:val="auto"/>
                <w:sz w:val="24"/>
              </w:rPr>
              <w:t>.</w:t>
            </w:r>
            <w:r w:rsidR="00B817D9" w:rsidRPr="00B817D9">
              <w:rPr>
                <w:rFonts w:ascii="Times New Roman" w:hAnsi="Times New Roman"/>
                <w:b/>
                <w:color w:val="auto"/>
                <w:sz w:val="24"/>
              </w:rPr>
              <w:t> </w:t>
            </w:r>
            <w:r w:rsidRPr="00B817D9">
              <w:rPr>
                <w:rFonts w:ascii="Times New Roman" w:hAnsi="Times New Roman"/>
                <w:b/>
                <w:color w:val="auto"/>
                <w:sz w:val="24"/>
              </w:rPr>
              <w:t>429b ust.</w:t>
            </w:r>
            <w:r w:rsidR="00B817D9" w:rsidRPr="00B817D9">
              <w:rPr>
                <w:rFonts w:ascii="Times New Roman" w:hAnsi="Times New Roman"/>
                <w:b/>
                <w:color w:val="auto"/>
                <w:sz w:val="24"/>
              </w:rPr>
              <w:t> </w:t>
            </w:r>
            <w:r w:rsidRPr="00B817D9">
              <w:rPr>
                <w:rFonts w:ascii="Times New Roman" w:hAnsi="Times New Roman"/>
                <w:b/>
                <w:color w:val="auto"/>
                <w:sz w:val="24"/>
              </w:rPr>
              <w:t>3 CRR</w:t>
            </w:r>
          </w:p>
          <w:p w14:paraId="10AA0B56" w14:textId="720E68DF" w:rsidR="00CB48CC" w:rsidRPr="00B817D9" w:rsidRDefault="00CB48CC"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lastRenderedPageBreak/>
              <w:t>Art. 429b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 xml:space="preserve">575/2013 </w:t>
            </w:r>
            <w:r w:rsidRPr="00B817D9">
              <w:rPr>
                <w:rFonts w:ascii="Times New Roman" w:hAnsi="Times New Roman"/>
                <w:color w:val="auto"/>
                <w:sz w:val="24"/>
              </w:rPr>
              <w:t>Kwota skompensowana</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eks</w:t>
            </w:r>
            <w:r w:rsidRPr="00B817D9">
              <w:rPr>
                <w:rFonts w:ascii="Times New Roman" w:hAnsi="Times New Roman"/>
                <w:color w:val="auto"/>
                <w:sz w:val="24"/>
              </w:rPr>
              <w:t>pozycji brutto związanych</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mec</w:t>
            </w:r>
            <w:r w:rsidRPr="00B817D9">
              <w:rPr>
                <w:rFonts w:ascii="Times New Roman" w:hAnsi="Times New Roman"/>
                <w:color w:val="auto"/>
                <w:sz w:val="24"/>
              </w:rPr>
              <w:t>hanizmem łączenia środków pieniężnych (suma wierszy 0195</w:t>
            </w:r>
            <w:r w:rsidR="00B817D9" w:rsidRPr="00B817D9">
              <w:rPr>
                <w:rFonts w:ascii="Times New Roman" w:hAnsi="Times New Roman"/>
                <w:color w:val="auto"/>
                <w:sz w:val="24"/>
              </w:rPr>
              <w:t xml:space="preserve"> i</w:t>
            </w:r>
            <w:r w:rsidR="00B817D9">
              <w:rPr>
                <w:rFonts w:ascii="Times New Roman" w:hAnsi="Times New Roman"/>
                <w:color w:val="auto"/>
                <w:sz w:val="24"/>
              </w:rPr>
              <w:t> </w:t>
            </w:r>
            <w:r w:rsidR="00B817D9" w:rsidRPr="00B817D9">
              <w:rPr>
                <w:rFonts w:ascii="Times New Roman" w:hAnsi="Times New Roman"/>
                <w:color w:val="auto"/>
                <w:sz w:val="24"/>
              </w:rPr>
              <w:t>0</w:t>
            </w:r>
            <w:r w:rsidRPr="00B817D9">
              <w:rPr>
                <w:rFonts w:ascii="Times New Roman" w:hAnsi="Times New Roman"/>
                <w:color w:val="auto"/>
                <w:sz w:val="24"/>
              </w:rPr>
              <w:t>196)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art</w:t>
            </w:r>
            <w:r w:rsidRPr="00B817D9">
              <w:rPr>
                <w:rFonts w:ascii="Times New Roman" w:hAnsi="Times New Roman"/>
                <w:color w:val="auto"/>
                <w:sz w:val="24"/>
              </w:rPr>
              <w:t>.</w:t>
            </w:r>
            <w:r w:rsidR="00B817D9" w:rsidRPr="00B817D9">
              <w:rPr>
                <w:rFonts w:ascii="Times New Roman" w:hAnsi="Times New Roman"/>
                <w:color w:val="auto"/>
                <w:sz w:val="24"/>
              </w:rPr>
              <w:t> </w:t>
            </w:r>
            <w:r w:rsidRPr="00B817D9">
              <w:rPr>
                <w:rFonts w:ascii="Times New Roman" w:hAnsi="Times New Roman"/>
                <w:color w:val="auto"/>
                <w:sz w:val="24"/>
              </w:rPr>
              <w:t>429b ust.</w:t>
            </w:r>
            <w:r w:rsidR="00B817D9" w:rsidRPr="00B817D9">
              <w:rPr>
                <w:rFonts w:ascii="Times New Roman" w:hAnsi="Times New Roman"/>
                <w:color w:val="auto"/>
                <w:sz w:val="24"/>
              </w:rPr>
              <w:t> </w:t>
            </w:r>
            <w:r w:rsidRPr="00B817D9">
              <w:rPr>
                <w:rFonts w:ascii="Times New Roman" w:hAnsi="Times New Roman"/>
                <w:color w:val="auto"/>
                <w:sz w:val="24"/>
              </w:rPr>
              <w:t>3.</w:t>
            </w:r>
          </w:p>
        </w:tc>
      </w:tr>
      <w:tr w:rsidR="00CB48CC" w:rsidRPr="00B817D9" w14:paraId="3E08AE39" w14:textId="77777777" w:rsidTr="008979D2">
        <w:trPr>
          <w:trHeight w:val="304"/>
        </w:trPr>
        <w:tc>
          <w:tcPr>
            <w:tcW w:w="1555" w:type="dxa"/>
            <w:gridSpan w:val="2"/>
            <w:tcBorders>
              <w:bottom w:val="single" w:sz="4" w:space="0" w:color="auto"/>
            </w:tcBorders>
          </w:tcPr>
          <w:p w14:paraId="16A9AAE1" w14:textId="7B5874EF"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lastRenderedPageBreak/>
              <w:t>{0200;0010}</w:t>
            </w:r>
          </w:p>
        </w:tc>
        <w:tc>
          <w:tcPr>
            <w:tcW w:w="7566" w:type="dxa"/>
            <w:tcBorders>
              <w:bottom w:val="single" w:sz="4" w:space="0" w:color="auto"/>
            </w:tcBorders>
          </w:tcPr>
          <w:p w14:paraId="060D27D3" w14:textId="7777777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Ubruttowienie przekazanego zabezpieczenia instrumentów pochodnych</w:t>
            </w:r>
          </w:p>
          <w:p w14:paraId="2AA08714" w14:textId="0CCA88A6"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429c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6B6AC708" w14:textId="632AA54A"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wszelkich zabezpieczeń instrumentów pochodnych, pod warunkiem że udzielenie takiego zabezpieczenia zmniejsza kwotę aktywów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 jak określono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3815F945" w14:textId="4D6A7C62"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W tej komórce instytucje nie uwzględniają początkowego depozytu zabezpieczającego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rozliczanych za pośrednictwem klienta transakcji na instrumentach pochodnych zawieranych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kwa</w:t>
            </w:r>
            <w:r w:rsidRPr="00B817D9">
              <w:rPr>
                <w:rFonts w:ascii="Times New Roman" w:hAnsi="Times New Roman"/>
                <w:sz w:val="24"/>
              </w:rPr>
              <w:t>lifikującym się kontrahentem centralnym ani kwalifikującego się zmiennego depozytu zabezpieczającego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got</w:t>
            </w:r>
            <w:r w:rsidRPr="00B817D9">
              <w:rPr>
                <w:rFonts w:ascii="Times New Roman" w:hAnsi="Times New Roman"/>
                <w:sz w:val="24"/>
              </w:rPr>
              <w:t>ówce,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def</w:t>
            </w:r>
            <w:r w:rsidRPr="00B817D9">
              <w:rPr>
                <w:rFonts w:ascii="Times New Roman" w:hAnsi="Times New Roman"/>
                <w:sz w:val="24"/>
              </w:rPr>
              <w:t>inicją zawartą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3 rozporządzenia (UE) nr</w:t>
            </w:r>
            <w:r w:rsidR="00B817D9" w:rsidRPr="00B817D9">
              <w:rPr>
                <w:rFonts w:ascii="Times New Roman" w:hAnsi="Times New Roman"/>
                <w:sz w:val="24"/>
              </w:rPr>
              <w:t> </w:t>
            </w:r>
            <w:r w:rsidRPr="00B817D9">
              <w:rPr>
                <w:rFonts w:ascii="Times New Roman" w:hAnsi="Times New Roman"/>
                <w:sz w:val="24"/>
              </w:rPr>
              <w:t>575/2013.</w:t>
            </w:r>
          </w:p>
        </w:tc>
      </w:tr>
      <w:tr w:rsidR="00CB48CC" w:rsidRPr="00B817D9" w14:paraId="5CAE26AC" w14:textId="77777777" w:rsidTr="008979D2">
        <w:trPr>
          <w:trHeight w:val="304"/>
        </w:trPr>
        <w:tc>
          <w:tcPr>
            <w:tcW w:w="1555" w:type="dxa"/>
            <w:gridSpan w:val="2"/>
            <w:tcBorders>
              <w:bottom w:val="single" w:sz="4" w:space="0" w:color="auto"/>
            </w:tcBorders>
          </w:tcPr>
          <w:p w14:paraId="6E109898" w14:textId="552996B4"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{0210;0010}</w:t>
            </w:r>
          </w:p>
        </w:tc>
        <w:tc>
          <w:tcPr>
            <w:tcW w:w="7566" w:type="dxa"/>
            <w:tcBorders>
              <w:bottom w:val="single" w:sz="4" w:space="0" w:color="auto"/>
            </w:tcBorders>
          </w:tcPr>
          <w:p w14:paraId="0DBB01E6" w14:textId="3D5FCFA9"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 Wierzytelności</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zmiennego depozytu zabezpieczającego przekazanego</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got</w:t>
            </w:r>
            <w:r w:rsidRPr="00B817D9">
              <w:rPr>
                <w:rFonts w:ascii="Times New Roman" w:hAnsi="Times New Roman"/>
                <w:b/>
                <w:sz w:val="24"/>
              </w:rPr>
              <w:t>ówce</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ram</w:t>
            </w:r>
            <w:r w:rsidRPr="00B817D9">
              <w:rPr>
                <w:rFonts w:ascii="Times New Roman" w:hAnsi="Times New Roman"/>
                <w:b/>
                <w:sz w:val="24"/>
              </w:rPr>
              <w:t>ach transakcji na instrumentach pochodnych</w:t>
            </w:r>
          </w:p>
          <w:p w14:paraId="353AEF67" w14:textId="3C2ED9B7" w:rsidR="00CB48CC" w:rsidRPr="00B817D9" w:rsidRDefault="001475A2"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429c ust.</w:t>
            </w:r>
            <w:r w:rsidR="00B817D9" w:rsidRPr="00B817D9">
              <w:rPr>
                <w:rFonts w:ascii="Times New Roman" w:hAnsi="Times New Roman"/>
                <w:sz w:val="24"/>
              </w:rPr>
              <w:t> </w:t>
            </w:r>
            <w:r w:rsidRPr="00B817D9">
              <w:rPr>
                <w:rFonts w:ascii="Times New Roman" w:hAnsi="Times New Roman"/>
                <w:sz w:val="24"/>
              </w:rPr>
              <w:t>3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43A45BE7" w14:textId="22A252C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Wierzytelności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zmiennego depozytu zabezpieczającego wypłacane kontrahentowi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got</w:t>
            </w:r>
            <w:r w:rsidRPr="00B817D9">
              <w:rPr>
                <w:rFonts w:ascii="Times New Roman" w:hAnsi="Times New Roman"/>
                <w:sz w:val="24"/>
              </w:rPr>
              <w:t>ówce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transakcji na instrumentach pochodnych, jeżeli instytucja jest zobowiązana,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 do ujęcia tych wierzytelności jako aktywów, pod warunkiem że spełnione zostały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429c ust.</w:t>
            </w:r>
            <w:r w:rsidR="00B817D9" w:rsidRPr="00B817D9">
              <w:rPr>
                <w:rFonts w:ascii="Times New Roman" w:hAnsi="Times New Roman"/>
                <w:sz w:val="24"/>
              </w:rPr>
              <w:t> </w:t>
            </w:r>
            <w:r w:rsidRPr="00B817D9">
              <w:rPr>
                <w:rFonts w:ascii="Times New Roman" w:hAnsi="Times New Roman"/>
                <w:sz w:val="24"/>
              </w:rPr>
              <w:t>3 lit.</w:t>
            </w:r>
            <w:r w:rsidR="00B817D9" w:rsidRPr="00B817D9">
              <w:rPr>
                <w:rFonts w:ascii="Times New Roman" w:hAnsi="Times New Roman"/>
                <w:sz w:val="24"/>
              </w:rPr>
              <w:t> </w:t>
            </w:r>
            <w:r w:rsidRPr="00B817D9">
              <w:rPr>
                <w:rFonts w:ascii="Times New Roman" w:hAnsi="Times New Roman"/>
                <w:sz w:val="24"/>
              </w:rPr>
              <w:t>a)–e) rozporządzenia (UE) nr</w:t>
            </w:r>
            <w:r w:rsidR="00B817D9" w:rsidRPr="00B817D9">
              <w:rPr>
                <w:rFonts w:ascii="Times New Roman" w:hAnsi="Times New Roman"/>
                <w:sz w:val="24"/>
              </w:rPr>
              <w:t> </w:t>
            </w:r>
            <w:r w:rsidRPr="00B817D9">
              <w:rPr>
                <w:rFonts w:ascii="Times New Roman" w:hAnsi="Times New Roman"/>
                <w:sz w:val="24"/>
              </w:rPr>
              <w:t>575/2013.</w:t>
            </w:r>
          </w:p>
          <w:p w14:paraId="5E1EBFBA" w14:textId="2563E79B"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inn</w:t>
            </w:r>
            <w:r w:rsidRPr="00B817D9">
              <w:rPr>
                <w:rFonts w:ascii="Times New Roman" w:hAnsi="Times New Roman"/>
                <w:sz w:val="24"/>
              </w:rPr>
              <w:t>ych aktywach zgłoszonych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{0190;0010}.</w:t>
            </w:r>
          </w:p>
        </w:tc>
      </w:tr>
      <w:tr w:rsidR="00CB48CC" w:rsidRPr="00B817D9" w14:paraId="7004E9E4" w14:textId="77777777" w:rsidTr="008979D2">
        <w:trPr>
          <w:trHeight w:val="304"/>
        </w:trPr>
        <w:tc>
          <w:tcPr>
            <w:tcW w:w="1555" w:type="dxa"/>
            <w:gridSpan w:val="2"/>
            <w:tcBorders>
              <w:bottom w:val="single" w:sz="4" w:space="0" w:color="auto"/>
            </w:tcBorders>
          </w:tcPr>
          <w:p w14:paraId="200E881A" w14:textId="0436C5A2"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{0220;0010}</w:t>
            </w:r>
          </w:p>
        </w:tc>
        <w:tc>
          <w:tcPr>
            <w:tcW w:w="7566" w:type="dxa"/>
            <w:tcBorders>
              <w:bottom w:val="single" w:sz="4" w:space="0" w:color="auto"/>
            </w:tcBorders>
          </w:tcPr>
          <w:p w14:paraId="68880B55" w14:textId="4C9F8BD6"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 Wyłączone ekspozycje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transakcji rozliczanych za pośrednictwem klienta</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odn</w:t>
            </w:r>
            <w:r w:rsidRPr="00B817D9">
              <w:rPr>
                <w:rFonts w:ascii="Times New Roman" w:hAnsi="Times New Roman"/>
                <w:b/>
                <w:sz w:val="24"/>
              </w:rPr>
              <w:t>iesieniu do składnika rozliczanego</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kon</w:t>
            </w:r>
            <w:r w:rsidRPr="00B817D9">
              <w:rPr>
                <w:rFonts w:ascii="Times New Roman" w:hAnsi="Times New Roman"/>
                <w:b/>
                <w:sz w:val="24"/>
              </w:rPr>
              <w:t>trahentem centralnym (początkowy depozyt zabezpieczający)</w:t>
            </w:r>
          </w:p>
          <w:p w14:paraId="3E812C65" w14:textId="0E0ADD23" w:rsidR="00CB48CC" w:rsidRPr="00B817D9" w:rsidRDefault="001475A2"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g) rozporządzenia (UE) nr</w:t>
            </w:r>
            <w:r w:rsidR="00B817D9" w:rsidRPr="00B817D9">
              <w:rPr>
                <w:rFonts w:ascii="Times New Roman" w:hAnsi="Times New Roman"/>
                <w:sz w:val="24"/>
              </w:rPr>
              <w:t> </w:t>
            </w:r>
            <w:r w:rsidRPr="00B817D9">
              <w:rPr>
                <w:rFonts w:ascii="Times New Roman" w:hAnsi="Times New Roman"/>
                <w:sz w:val="24"/>
              </w:rPr>
              <w:t>575/2013</w:t>
            </w:r>
          </w:p>
          <w:p w14:paraId="5FE3535A" w14:textId="5ECB4A8D"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Odpowiadająca (przekazanemu) początkowemu depozytowi zabezpieczającemu część wyłączonych ekspozycji wobec kwalifikującego się kontrahenta centralnego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rozliczanych za pośrednictwem klienta transakcji na instrumentach pochodnych, pod warunkiem że pozycje te spełniają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306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6C360905" w14:textId="58F0780F"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inn</w:t>
            </w:r>
            <w:r w:rsidRPr="00B817D9">
              <w:rPr>
                <w:rFonts w:ascii="Times New Roman" w:hAnsi="Times New Roman"/>
                <w:sz w:val="24"/>
              </w:rPr>
              <w:t>ych aktywach zgłoszonych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{0190;0010}.</w:t>
            </w:r>
          </w:p>
        </w:tc>
      </w:tr>
      <w:tr w:rsidR="00CB48CC" w:rsidRPr="00B817D9" w14:paraId="49F39ED5" w14:textId="77777777" w:rsidTr="008979D2">
        <w:trPr>
          <w:trHeight w:val="304"/>
        </w:trPr>
        <w:tc>
          <w:tcPr>
            <w:tcW w:w="1555" w:type="dxa"/>
            <w:gridSpan w:val="2"/>
            <w:tcBorders>
              <w:bottom w:val="single" w:sz="4" w:space="0" w:color="auto"/>
            </w:tcBorders>
          </w:tcPr>
          <w:p w14:paraId="078DD162" w14:textId="26EF1E5A"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lastRenderedPageBreak/>
              <w:t>{0230;0010}</w:t>
            </w:r>
          </w:p>
        </w:tc>
        <w:tc>
          <w:tcPr>
            <w:tcW w:w="7566" w:type="dxa"/>
            <w:tcBorders>
              <w:bottom w:val="single" w:sz="4" w:space="0" w:color="auto"/>
            </w:tcBorders>
          </w:tcPr>
          <w:p w14:paraId="66A65253" w14:textId="6F5E99AE"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Korekty</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transakcji finansowanych</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uży</w:t>
            </w:r>
            <w:r w:rsidRPr="00B817D9">
              <w:rPr>
                <w:rFonts w:ascii="Times New Roman" w:hAnsi="Times New Roman"/>
                <w:b/>
                <w:sz w:val="24"/>
              </w:rPr>
              <w:t>ciem papierów wartościowych traktowanych jako sprzedaż do celów księgowych</w:t>
            </w:r>
          </w:p>
          <w:p w14:paraId="46B4994C" w14:textId="41145336"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429e ust.</w:t>
            </w:r>
            <w:r w:rsidR="00B817D9" w:rsidRPr="00B817D9">
              <w:rPr>
                <w:rFonts w:ascii="Times New Roman" w:hAnsi="Times New Roman"/>
                <w:sz w:val="24"/>
              </w:rPr>
              <w:t> </w:t>
            </w:r>
            <w:r w:rsidRPr="00B817D9">
              <w:rPr>
                <w:rFonts w:ascii="Times New Roman" w:hAnsi="Times New Roman"/>
                <w:sz w:val="24"/>
              </w:rPr>
              <w:t>6 rozporządzenia (UE) nr</w:t>
            </w:r>
            <w:r w:rsidR="00B817D9" w:rsidRPr="00B817D9">
              <w:rPr>
                <w:rFonts w:ascii="Times New Roman" w:hAnsi="Times New Roman"/>
                <w:sz w:val="24"/>
              </w:rPr>
              <w:t> </w:t>
            </w:r>
            <w:r w:rsidRPr="00B817D9">
              <w:rPr>
                <w:rFonts w:ascii="Times New Roman" w:hAnsi="Times New Roman"/>
                <w:sz w:val="24"/>
              </w:rPr>
              <w:t>575/2013</w:t>
            </w:r>
          </w:p>
          <w:p w14:paraId="05B69EB8" w14:textId="5C7665DF"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papierów wartościowych pożyczonych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transakcji odkupu, które usuwa się</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ansu</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wyn</w:t>
            </w:r>
            <w:r w:rsidRPr="00B817D9">
              <w:rPr>
                <w:rFonts w:ascii="Times New Roman" w:hAnsi="Times New Roman"/>
                <w:sz w:val="24"/>
              </w:rPr>
              <w:t>iku transakcji traktowanej jako sprzedaż do celów księgowych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p>
        </w:tc>
      </w:tr>
      <w:tr w:rsidR="00CB48CC" w:rsidRPr="00B817D9" w14:paraId="5CBC395D" w14:textId="77777777" w:rsidTr="008979D2">
        <w:trPr>
          <w:trHeight w:val="304"/>
        </w:trPr>
        <w:tc>
          <w:tcPr>
            <w:tcW w:w="1555" w:type="dxa"/>
            <w:gridSpan w:val="2"/>
            <w:tcBorders>
              <w:bottom w:val="single" w:sz="4" w:space="0" w:color="auto"/>
            </w:tcBorders>
          </w:tcPr>
          <w:p w14:paraId="22212EBE" w14:textId="01A07AD0"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{0235;0010}</w:t>
            </w:r>
          </w:p>
        </w:tc>
        <w:tc>
          <w:tcPr>
            <w:tcW w:w="7566" w:type="dxa"/>
            <w:tcBorders>
              <w:bottom w:val="single" w:sz="4" w:space="0" w:color="auto"/>
            </w:tcBorders>
          </w:tcPr>
          <w:p w14:paraId="6E0AEEEF" w14:textId="36DC58FA"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 Zmniejszenie wartości ekspozycji</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 xml:space="preserve">ułu kredytu na prefinansowanie lub kredytu przejściowego </w:t>
            </w:r>
          </w:p>
          <w:p w14:paraId="44C18D39" w14:textId="1EAA90F3" w:rsidR="00131C70" w:rsidRPr="00B817D9" w:rsidRDefault="00131C70"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 ust.</w:t>
            </w:r>
            <w:r w:rsidR="00B817D9" w:rsidRPr="00B817D9">
              <w:rPr>
                <w:rFonts w:ascii="Times New Roman" w:hAnsi="Times New Roman"/>
                <w:sz w:val="24"/>
              </w:rPr>
              <w:t> </w:t>
            </w:r>
            <w:r w:rsidRPr="00B817D9">
              <w:rPr>
                <w:rFonts w:ascii="Times New Roman" w:hAnsi="Times New Roman"/>
                <w:sz w:val="24"/>
              </w:rPr>
              <w:t>8 rozporządzenia (UE) nr</w:t>
            </w:r>
            <w:r w:rsidR="00B817D9" w:rsidRPr="00B817D9">
              <w:rPr>
                <w:rFonts w:ascii="Times New Roman" w:hAnsi="Times New Roman"/>
                <w:sz w:val="24"/>
              </w:rPr>
              <w:t> </w:t>
            </w:r>
            <w:r w:rsidRPr="00B817D9">
              <w:rPr>
                <w:rFonts w:ascii="Times New Roman" w:hAnsi="Times New Roman"/>
                <w:sz w:val="24"/>
              </w:rPr>
              <w:t>575/2013</w:t>
            </w:r>
          </w:p>
          <w:p w14:paraId="211507FA" w14:textId="69D50CBE" w:rsidR="00131C70" w:rsidRPr="00B817D9" w:rsidRDefault="00131C70" w:rsidP="000B66BC">
            <w:pPr>
              <w:pStyle w:val="BodyText1"/>
              <w:spacing w:after="240"/>
              <w:rPr>
                <w:rFonts w:ascii="Times New Roman" w:hAnsi="Times New Roman"/>
                <w:bCs/>
                <w:sz w:val="24"/>
                <w:szCs w:val="24"/>
              </w:rPr>
            </w:pPr>
            <w:r w:rsidRPr="00B817D9">
              <w:rPr>
                <w:rFonts w:ascii="Times New Roman" w:hAnsi="Times New Roman"/>
                <w:sz w:val="24"/>
              </w:rPr>
              <w:t>Kwota odliczona od wartości ekspozycji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kredytu na prefinansowanie lub kredytu przejściowego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 ust.</w:t>
            </w:r>
            <w:r w:rsidR="00B817D9" w:rsidRPr="00B817D9">
              <w:rPr>
                <w:rFonts w:ascii="Times New Roman" w:hAnsi="Times New Roman"/>
                <w:sz w:val="24"/>
              </w:rPr>
              <w:t> </w:t>
            </w:r>
            <w:r w:rsidRPr="00B817D9">
              <w:rPr>
                <w:rFonts w:ascii="Times New Roman" w:hAnsi="Times New Roman"/>
                <w:sz w:val="24"/>
              </w:rPr>
              <w:t>8 rozporządzenia (UE) nr</w:t>
            </w:r>
            <w:r w:rsidR="00B817D9" w:rsidRPr="00B817D9">
              <w:rPr>
                <w:rFonts w:ascii="Times New Roman" w:hAnsi="Times New Roman"/>
                <w:sz w:val="24"/>
              </w:rPr>
              <w:t> </w:t>
            </w:r>
            <w:r w:rsidRPr="00B817D9">
              <w:rPr>
                <w:rFonts w:ascii="Times New Roman" w:hAnsi="Times New Roman"/>
                <w:sz w:val="24"/>
              </w:rPr>
              <w:t>575/2013.</w:t>
            </w:r>
          </w:p>
          <w:p w14:paraId="28E46325" w14:textId="2BDB4C6F" w:rsidR="00131C70" w:rsidRPr="00B817D9" w:rsidRDefault="002662F0" w:rsidP="000B66BC">
            <w:pPr>
              <w:pStyle w:val="BodyText1"/>
              <w:spacing w:after="240" w:line="240" w:lineRule="auto"/>
              <w:rPr>
                <w:rFonts w:ascii="Times New Roman" w:hAnsi="Times New Roman"/>
                <w:b/>
                <w:bCs/>
                <w:sz w:val="24"/>
                <w:szCs w:val="24"/>
              </w:rPr>
            </w:pPr>
            <w:r w:rsidRPr="00B817D9">
              <w:rPr>
                <w:rFonts w:ascii="Times New Roman" w:hAnsi="Times New Roman"/>
                <w:sz w:val="24"/>
              </w:rPr>
              <w:t>Zgłoszoną kwotę należy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inn</w:t>
            </w:r>
            <w:r w:rsidRPr="00B817D9">
              <w:rPr>
                <w:rFonts w:ascii="Times New Roman" w:hAnsi="Times New Roman"/>
                <w:sz w:val="24"/>
              </w:rPr>
              <w:t>ych aktywach zgłoszonych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{0190;0010}.</w:t>
            </w:r>
          </w:p>
        </w:tc>
      </w:tr>
      <w:tr w:rsidR="00CB48CC" w:rsidRPr="00B817D9" w14:paraId="18C57782" w14:textId="77777777" w:rsidTr="008979D2">
        <w:trPr>
          <w:trHeight w:val="304"/>
        </w:trPr>
        <w:tc>
          <w:tcPr>
            <w:tcW w:w="1555" w:type="dxa"/>
            <w:gridSpan w:val="2"/>
            <w:tcBorders>
              <w:bottom w:val="single" w:sz="4" w:space="0" w:color="auto"/>
            </w:tcBorders>
          </w:tcPr>
          <w:p w14:paraId="3BF18418" w14:textId="18069978"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{0240;0010}</w:t>
            </w:r>
          </w:p>
        </w:tc>
        <w:tc>
          <w:tcPr>
            <w:tcW w:w="7566" w:type="dxa"/>
            <w:tcBorders>
              <w:bottom w:val="single" w:sz="4" w:space="0" w:color="auto"/>
            </w:tcBorders>
          </w:tcPr>
          <w:p w14:paraId="3B65685B" w14:textId="7777777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 Aktywa powiernicze</w:t>
            </w:r>
          </w:p>
          <w:p w14:paraId="7B749386" w14:textId="6458D608" w:rsidR="00CB48CC" w:rsidRPr="00B817D9" w:rsidRDefault="00520E26"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i) rozporządzenia (UE) nr</w:t>
            </w:r>
            <w:r w:rsidR="00B817D9" w:rsidRPr="00B817D9">
              <w:rPr>
                <w:rFonts w:ascii="Times New Roman" w:hAnsi="Times New Roman"/>
                <w:sz w:val="24"/>
              </w:rPr>
              <w:t> </w:t>
            </w:r>
            <w:r w:rsidRPr="00B817D9">
              <w:rPr>
                <w:rFonts w:ascii="Times New Roman" w:hAnsi="Times New Roman"/>
                <w:sz w:val="24"/>
              </w:rPr>
              <w:t>575/2013</w:t>
            </w:r>
          </w:p>
          <w:p w14:paraId="0AD4C34E" w14:textId="68798A30"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Wartość aktywów powierniczych, które są ujęte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instytucji stosownie do ogólnie przyjętych krajowych zasad rachunkowości, spełniają kryteria usunięcia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ansu określone w MSSF 9 oraz –</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sto</w:t>
            </w:r>
            <w:r w:rsidRPr="00B817D9">
              <w:rPr>
                <w:rFonts w:ascii="Times New Roman" w:hAnsi="Times New Roman"/>
                <w:sz w:val="24"/>
              </w:rPr>
              <w:t>sownych przypadkach – kryteria niekonsolidacji określone w MSSF 10,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i) rozporządzenia (UE) nr</w:t>
            </w:r>
            <w:r w:rsidR="00B817D9" w:rsidRPr="00B817D9">
              <w:rPr>
                <w:rFonts w:ascii="Times New Roman" w:hAnsi="Times New Roman"/>
                <w:sz w:val="24"/>
              </w:rPr>
              <w:t> </w:t>
            </w:r>
            <w:r w:rsidRPr="00B817D9">
              <w:rPr>
                <w:rFonts w:ascii="Times New Roman" w:hAnsi="Times New Roman"/>
                <w:sz w:val="24"/>
              </w:rPr>
              <w:t>575/2013, przy założeniu niestosowania kompensat księgowych ani innych efektów CRM (tj. należy zastosować storno wobec wszelkich kwot wynikających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pensat księgowych lub CRM, które miały wpływ na wartość księgową).</w:t>
            </w:r>
          </w:p>
          <w:p w14:paraId="3BDFEE4B" w14:textId="4D06F6DF"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inn</w:t>
            </w:r>
            <w:r w:rsidRPr="00B817D9">
              <w:rPr>
                <w:rFonts w:ascii="Times New Roman" w:hAnsi="Times New Roman"/>
                <w:sz w:val="24"/>
              </w:rPr>
              <w:t>ych aktywach zgłoszonych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{0190;0010}.</w:t>
            </w:r>
          </w:p>
        </w:tc>
      </w:tr>
      <w:tr w:rsidR="00CB48CC" w:rsidRPr="00B817D9" w14:paraId="6FE4C909" w14:textId="77777777" w:rsidTr="008979D2">
        <w:trPr>
          <w:trHeight w:val="304"/>
        </w:trPr>
        <w:tc>
          <w:tcPr>
            <w:tcW w:w="1555" w:type="dxa"/>
            <w:gridSpan w:val="2"/>
            <w:tcBorders>
              <w:bottom w:val="single" w:sz="4" w:space="0" w:color="auto"/>
            </w:tcBorders>
          </w:tcPr>
          <w:p w14:paraId="6A867BE8" w14:textId="56A136F0"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{0250;0010}</w:t>
            </w:r>
          </w:p>
        </w:tc>
        <w:tc>
          <w:tcPr>
            <w:tcW w:w="7566" w:type="dxa"/>
            <w:tcBorders>
              <w:bottom w:val="single" w:sz="4" w:space="0" w:color="auto"/>
            </w:tcBorders>
          </w:tcPr>
          <w:p w14:paraId="444C70A3" w14:textId="24D5A9C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 Ekspozycje wewnątrzgrupowe (na zasadzie nieskonsolidowanej) wyłączone zgodnie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 429a ust. 1 lit. c) CRR</w:t>
            </w:r>
          </w:p>
          <w:p w14:paraId="1E2E0D64" w14:textId="1C90B31D" w:rsidR="00CB48CC" w:rsidRPr="00B817D9" w:rsidRDefault="00010563"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113 ust.</w:t>
            </w:r>
            <w:r w:rsidR="00B817D9" w:rsidRPr="00B817D9">
              <w:rPr>
                <w:rFonts w:ascii="Times New Roman" w:hAnsi="Times New Roman"/>
                <w:sz w:val="24"/>
              </w:rPr>
              <w:t> </w:t>
            </w:r>
            <w:r w:rsidRPr="00B817D9">
              <w:rPr>
                <w:rFonts w:ascii="Times New Roman" w:hAnsi="Times New Roman"/>
                <w:sz w:val="24"/>
              </w:rPr>
              <w:t>6 rozporządzenia (UE) nr</w:t>
            </w:r>
            <w:r w:rsidR="00B817D9" w:rsidRPr="00B817D9">
              <w:rPr>
                <w:rFonts w:ascii="Times New Roman" w:hAnsi="Times New Roman"/>
                <w:sz w:val="24"/>
              </w:rPr>
              <w:t> </w:t>
            </w:r>
            <w:r w:rsidRPr="00B817D9">
              <w:rPr>
                <w:rFonts w:ascii="Times New Roman" w:hAnsi="Times New Roman"/>
                <w:sz w:val="24"/>
              </w:rPr>
              <w:t>575/2013</w:t>
            </w:r>
          </w:p>
          <w:p w14:paraId="76D582E8" w14:textId="5F0261E4"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Ekspozycje, które nie zostały skonsolidowane na odpowiednim poziomie konsolidacji</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re mogą być traktowane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113 ust.</w:t>
            </w:r>
            <w:r w:rsidR="00B817D9" w:rsidRPr="00B817D9">
              <w:rPr>
                <w:rFonts w:ascii="Times New Roman" w:hAnsi="Times New Roman"/>
                <w:sz w:val="24"/>
              </w:rPr>
              <w:t> </w:t>
            </w:r>
            <w:r w:rsidRPr="00B817D9">
              <w:rPr>
                <w:rFonts w:ascii="Times New Roman" w:hAnsi="Times New Roman"/>
                <w:sz w:val="24"/>
              </w:rPr>
              <w:t>6 rozporządzenia (UE) nr</w:t>
            </w:r>
            <w:r w:rsidR="00B817D9" w:rsidRPr="00B817D9">
              <w:rPr>
                <w:rFonts w:ascii="Times New Roman" w:hAnsi="Times New Roman"/>
                <w:sz w:val="24"/>
              </w:rPr>
              <w:t> </w:t>
            </w:r>
            <w:r w:rsidRPr="00B817D9">
              <w:rPr>
                <w:rFonts w:ascii="Times New Roman" w:hAnsi="Times New Roman"/>
                <w:sz w:val="24"/>
              </w:rPr>
              <w:t xml:space="preserve">575/2013, pod warunkiem że spełnione zostały </w:t>
            </w:r>
            <w:r w:rsidRPr="00B817D9">
              <w:rPr>
                <w:rFonts w:ascii="Times New Roman" w:hAnsi="Times New Roman"/>
                <w:sz w:val="24"/>
              </w:rPr>
              <w:lastRenderedPageBreak/>
              <w:t>wszystkie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113 ust.</w:t>
            </w:r>
            <w:r w:rsidR="00B817D9" w:rsidRPr="00B817D9">
              <w:rPr>
                <w:rFonts w:ascii="Times New Roman" w:hAnsi="Times New Roman"/>
                <w:sz w:val="24"/>
              </w:rPr>
              <w:t> </w:t>
            </w:r>
            <w:r w:rsidRPr="00B817D9">
              <w:rPr>
                <w:rFonts w:ascii="Times New Roman" w:hAnsi="Times New Roman"/>
                <w:sz w:val="24"/>
              </w:rPr>
              <w:t>6 lit.</w:t>
            </w:r>
            <w:r w:rsidR="00B817D9" w:rsidRPr="00B817D9">
              <w:rPr>
                <w:rFonts w:ascii="Times New Roman" w:hAnsi="Times New Roman"/>
                <w:sz w:val="24"/>
              </w:rPr>
              <w:t> </w:t>
            </w:r>
            <w:r w:rsidRPr="00B817D9">
              <w:rPr>
                <w:rFonts w:ascii="Times New Roman" w:hAnsi="Times New Roman"/>
                <w:sz w:val="24"/>
              </w:rPr>
              <w:t>a)–e) rozporządzenia (UE) nr</w:t>
            </w:r>
            <w:r w:rsidR="00B817D9" w:rsidRPr="00B817D9">
              <w:rPr>
                <w:rFonts w:ascii="Times New Roman" w:hAnsi="Times New Roman"/>
                <w:sz w:val="24"/>
              </w:rPr>
              <w:t> </w:t>
            </w:r>
            <w:r w:rsidRPr="00B817D9">
              <w:rPr>
                <w:rFonts w:ascii="Times New Roman" w:hAnsi="Times New Roman"/>
                <w:sz w:val="24"/>
              </w:rPr>
              <w:t>575/2013 oraz że właściwe organy wyraziły na to zgodę.</w:t>
            </w:r>
          </w:p>
          <w:p w14:paraId="01853F94" w14:textId="7354F1AB"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CB48CC" w:rsidRPr="00B817D9" w14:paraId="38D7A9B9" w14:textId="77777777" w:rsidTr="008979D2">
        <w:trPr>
          <w:trHeight w:val="304"/>
        </w:trPr>
        <w:tc>
          <w:tcPr>
            <w:tcW w:w="1555" w:type="dxa"/>
            <w:gridSpan w:val="2"/>
            <w:tcBorders>
              <w:bottom w:val="single" w:sz="4" w:space="0" w:color="auto"/>
            </w:tcBorders>
          </w:tcPr>
          <w:p w14:paraId="370147EC" w14:textId="12EDC221"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lastRenderedPageBreak/>
              <w:t>{0251;0010}</w:t>
            </w:r>
          </w:p>
        </w:tc>
        <w:tc>
          <w:tcPr>
            <w:tcW w:w="7566" w:type="dxa"/>
            <w:tcBorders>
              <w:bottom w:val="single" w:sz="4" w:space="0" w:color="auto"/>
            </w:tcBorders>
          </w:tcPr>
          <w:p w14:paraId="4730EC18" w14:textId="6CD31BDC" w:rsidR="00CB48CC" w:rsidRPr="00B817D9" w:rsidRDefault="00CB48CC" w:rsidP="000B66BC">
            <w:pPr>
              <w:spacing w:after="240"/>
              <w:jc w:val="both"/>
              <w:rPr>
                <w:rFonts w:ascii="Times New Roman" w:hAnsi="Times New Roman"/>
                <w:b/>
                <w:color w:val="auto"/>
                <w:sz w:val="24"/>
                <w:szCs w:val="24"/>
              </w:rPr>
            </w:pPr>
            <w:r w:rsidRPr="00B817D9">
              <w:rPr>
                <w:rFonts w:ascii="Times New Roman" w:hAnsi="Times New Roman"/>
                <w:b/>
                <w:color w:val="auto"/>
                <w:sz w:val="24"/>
              </w:rPr>
              <w:t>(-) Ekspozycje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ułu instytucjonalnego systemu ochrony wyłączone zgodnie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art</w:t>
            </w:r>
            <w:r w:rsidRPr="00B817D9">
              <w:rPr>
                <w:rFonts w:ascii="Times New Roman" w:hAnsi="Times New Roman"/>
                <w:b/>
                <w:color w:val="auto"/>
                <w:sz w:val="24"/>
              </w:rPr>
              <w:t xml:space="preserve">. 429a ust. 1 lit. c) CRR </w:t>
            </w:r>
          </w:p>
          <w:p w14:paraId="7A5F0217" w14:textId="602AE65A" w:rsidR="00CB48CC" w:rsidRPr="00B817D9" w:rsidRDefault="009433A7"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113 ust.</w:t>
            </w:r>
            <w:r w:rsidR="00B817D9" w:rsidRPr="00B817D9">
              <w:rPr>
                <w:rFonts w:ascii="Times New Roman" w:hAnsi="Times New Roman"/>
                <w:sz w:val="24"/>
              </w:rPr>
              <w:t> </w:t>
            </w:r>
            <w:r w:rsidRPr="00B817D9">
              <w:rPr>
                <w:rFonts w:ascii="Times New Roman" w:hAnsi="Times New Roman"/>
                <w:sz w:val="24"/>
              </w:rPr>
              <w:t>7 rozporządzenia (UE) nr</w:t>
            </w:r>
            <w:r w:rsidR="00B817D9" w:rsidRPr="00B817D9">
              <w:rPr>
                <w:rFonts w:ascii="Times New Roman" w:hAnsi="Times New Roman"/>
                <w:sz w:val="24"/>
              </w:rPr>
              <w:t> </w:t>
            </w:r>
            <w:r w:rsidRPr="00B817D9">
              <w:rPr>
                <w:rFonts w:ascii="Times New Roman" w:hAnsi="Times New Roman"/>
                <w:sz w:val="24"/>
              </w:rPr>
              <w:t>575/2013</w:t>
            </w:r>
          </w:p>
          <w:p w14:paraId="16C42B04" w14:textId="6DB74ED5"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Ekspozycje, które mogą być traktowane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113 ust.</w:t>
            </w:r>
            <w:r w:rsidR="00B817D9" w:rsidRPr="00B817D9">
              <w:rPr>
                <w:rFonts w:ascii="Times New Roman" w:hAnsi="Times New Roman"/>
                <w:sz w:val="24"/>
              </w:rPr>
              <w:t> </w:t>
            </w:r>
            <w:r w:rsidRPr="00B817D9">
              <w:rPr>
                <w:rFonts w:ascii="Times New Roman" w:hAnsi="Times New Roman"/>
                <w:sz w:val="24"/>
              </w:rPr>
              <w:t>7 rozporządzenia (UE) nr</w:t>
            </w:r>
            <w:r w:rsidR="00B817D9" w:rsidRPr="00B817D9">
              <w:rPr>
                <w:rFonts w:ascii="Times New Roman" w:hAnsi="Times New Roman"/>
                <w:sz w:val="24"/>
              </w:rPr>
              <w:t> </w:t>
            </w:r>
            <w:r w:rsidRPr="00B817D9">
              <w:rPr>
                <w:rFonts w:ascii="Times New Roman" w:hAnsi="Times New Roman"/>
                <w:sz w:val="24"/>
              </w:rPr>
              <w:t>575/2013, pod warunkiem że spełnione zostały wszystkie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113 ust.</w:t>
            </w:r>
            <w:r w:rsidR="00B817D9" w:rsidRPr="00B817D9">
              <w:rPr>
                <w:rFonts w:ascii="Times New Roman" w:hAnsi="Times New Roman"/>
                <w:sz w:val="24"/>
              </w:rPr>
              <w:t> </w:t>
            </w:r>
            <w:r w:rsidRPr="00B817D9">
              <w:rPr>
                <w:rFonts w:ascii="Times New Roman" w:hAnsi="Times New Roman"/>
                <w:sz w:val="24"/>
              </w:rPr>
              <w:t>7 lit.</w:t>
            </w:r>
            <w:r w:rsidR="00B817D9" w:rsidRPr="00B817D9">
              <w:rPr>
                <w:rFonts w:ascii="Times New Roman" w:hAnsi="Times New Roman"/>
                <w:sz w:val="24"/>
              </w:rPr>
              <w:t> </w:t>
            </w:r>
            <w:r w:rsidRPr="00B817D9">
              <w:rPr>
                <w:rFonts w:ascii="Times New Roman" w:hAnsi="Times New Roman"/>
                <w:sz w:val="24"/>
              </w:rPr>
              <w:t>a)–i) rozporządzenia (UE) nr</w:t>
            </w:r>
            <w:r w:rsidR="00B817D9" w:rsidRPr="00B817D9">
              <w:rPr>
                <w:rFonts w:ascii="Times New Roman" w:hAnsi="Times New Roman"/>
                <w:sz w:val="24"/>
              </w:rPr>
              <w:t> </w:t>
            </w:r>
            <w:r w:rsidRPr="00B817D9">
              <w:rPr>
                <w:rFonts w:ascii="Times New Roman" w:hAnsi="Times New Roman"/>
                <w:sz w:val="24"/>
              </w:rPr>
              <w:t>575/2013 oraz że właściwe organy wyraziły na to zgodę.</w:t>
            </w:r>
          </w:p>
          <w:p w14:paraId="3349FF66" w14:textId="43DE0744"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3D12C1" w:rsidRPr="00B817D9" w14:paraId="74420A08" w14:textId="77777777" w:rsidTr="008979D2">
        <w:trPr>
          <w:trHeight w:val="304"/>
        </w:trPr>
        <w:tc>
          <w:tcPr>
            <w:tcW w:w="1555" w:type="dxa"/>
            <w:gridSpan w:val="2"/>
            <w:tcBorders>
              <w:bottom w:val="single" w:sz="4" w:space="0" w:color="auto"/>
            </w:tcBorders>
          </w:tcPr>
          <w:p w14:paraId="24AEF8FA" w14:textId="4344C276" w:rsidR="003D12C1" w:rsidRPr="00B817D9" w:rsidRDefault="003D12C1" w:rsidP="000B66BC">
            <w:pPr>
              <w:pStyle w:val="BodyText1"/>
              <w:spacing w:after="240"/>
              <w:rPr>
                <w:rFonts w:ascii="Times New Roman" w:hAnsi="Times New Roman"/>
                <w:bCs/>
                <w:sz w:val="24"/>
                <w:szCs w:val="24"/>
              </w:rPr>
            </w:pPr>
            <w:r w:rsidRPr="00B817D9">
              <w:rPr>
                <w:rFonts w:ascii="Times New Roman" w:hAnsi="Times New Roman"/>
                <w:sz w:val="24"/>
              </w:rPr>
              <w:t>{0900;0010}</w:t>
            </w:r>
          </w:p>
        </w:tc>
        <w:tc>
          <w:tcPr>
            <w:tcW w:w="7566" w:type="dxa"/>
            <w:tcBorders>
              <w:bottom w:val="single" w:sz="4" w:space="0" w:color="auto"/>
            </w:tcBorders>
          </w:tcPr>
          <w:p w14:paraId="0F7B2C03" w14:textId="0139F471" w:rsidR="003D12C1" w:rsidRPr="00B817D9" w:rsidRDefault="0093277B" w:rsidP="000B66BC">
            <w:pPr>
              <w:spacing w:after="240"/>
              <w:jc w:val="both"/>
              <w:rPr>
                <w:rFonts w:ascii="Times New Roman" w:hAnsi="Times New Roman"/>
                <w:b/>
                <w:color w:val="auto"/>
                <w:sz w:val="24"/>
                <w:szCs w:val="24"/>
              </w:rPr>
            </w:pPr>
            <w:r w:rsidRPr="00B817D9">
              <w:rPr>
                <w:rFonts w:ascii="Times New Roman" w:hAnsi="Times New Roman"/>
                <w:b/>
                <w:color w:val="auto"/>
                <w:sz w:val="24"/>
              </w:rPr>
              <w:t>(-) Ekspozycje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ułu instytucjonalnego systemu ochrony wyłączone zgodnie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art</w:t>
            </w:r>
            <w:r w:rsidRPr="00B817D9">
              <w:rPr>
                <w:rFonts w:ascii="Times New Roman" w:hAnsi="Times New Roman"/>
                <w:b/>
                <w:color w:val="auto"/>
                <w:sz w:val="24"/>
              </w:rPr>
              <w:t>.</w:t>
            </w:r>
            <w:r w:rsidR="00B817D9" w:rsidRPr="00B817D9">
              <w:rPr>
                <w:rFonts w:ascii="Times New Roman" w:hAnsi="Times New Roman"/>
                <w:b/>
                <w:color w:val="auto"/>
                <w:sz w:val="24"/>
              </w:rPr>
              <w:t> </w:t>
            </w:r>
            <w:r w:rsidRPr="00B817D9">
              <w:rPr>
                <w:rFonts w:ascii="Times New Roman" w:hAnsi="Times New Roman"/>
                <w:b/>
                <w:color w:val="auto"/>
                <w:sz w:val="24"/>
              </w:rPr>
              <w:t>429a ust.</w:t>
            </w:r>
            <w:r w:rsidR="00B817D9" w:rsidRPr="00B817D9">
              <w:rPr>
                <w:rFonts w:ascii="Times New Roman" w:hAnsi="Times New Roman"/>
                <w:b/>
                <w:color w:val="auto"/>
                <w:sz w:val="24"/>
              </w:rPr>
              <w:t> </w:t>
            </w:r>
            <w:r w:rsidRPr="00B817D9">
              <w:rPr>
                <w:rFonts w:ascii="Times New Roman" w:hAnsi="Times New Roman"/>
                <w:b/>
                <w:color w:val="auto"/>
                <w:sz w:val="24"/>
              </w:rPr>
              <w:t>1 lit. ca) rozporządzenia (UE) nr</w:t>
            </w:r>
            <w:r w:rsidR="00B817D9" w:rsidRPr="00B817D9">
              <w:rPr>
                <w:rFonts w:ascii="Times New Roman" w:hAnsi="Times New Roman"/>
                <w:b/>
                <w:color w:val="auto"/>
                <w:sz w:val="24"/>
              </w:rPr>
              <w:t> </w:t>
            </w:r>
            <w:r w:rsidRPr="00B817D9">
              <w:rPr>
                <w:rFonts w:ascii="Times New Roman" w:hAnsi="Times New Roman"/>
                <w:b/>
                <w:color w:val="auto"/>
                <w:sz w:val="24"/>
              </w:rPr>
              <w:t>575/2013</w:t>
            </w:r>
          </w:p>
          <w:p w14:paraId="6CE8CCB5" w14:textId="239047F0" w:rsidR="00D31203" w:rsidRPr="00B817D9" w:rsidRDefault="0093277B" w:rsidP="00D31203">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 ca), art.</w:t>
            </w:r>
            <w:r w:rsidR="00B817D9" w:rsidRPr="00B817D9">
              <w:rPr>
                <w:rFonts w:ascii="Times New Roman" w:hAnsi="Times New Roman"/>
                <w:sz w:val="24"/>
              </w:rPr>
              <w:t> </w:t>
            </w:r>
            <w:r w:rsidRPr="00B817D9">
              <w:rPr>
                <w:rFonts w:ascii="Times New Roman" w:hAnsi="Times New Roman"/>
                <w:sz w:val="24"/>
              </w:rPr>
              <w:t>113 ust.</w:t>
            </w:r>
            <w:r w:rsidR="00B817D9" w:rsidRPr="00B817D9">
              <w:rPr>
                <w:rFonts w:ascii="Times New Roman" w:hAnsi="Times New Roman"/>
                <w:sz w:val="24"/>
              </w:rPr>
              <w:t> </w:t>
            </w:r>
            <w:r w:rsidRPr="00B817D9">
              <w:rPr>
                <w:rFonts w:ascii="Times New Roman" w:hAnsi="Times New Roman"/>
                <w:sz w:val="24"/>
              </w:rPr>
              <w:t>7, art.</w:t>
            </w:r>
            <w:r w:rsidR="00B817D9" w:rsidRPr="00B817D9">
              <w:rPr>
                <w:rFonts w:ascii="Times New Roman" w:hAnsi="Times New Roman"/>
                <w:sz w:val="24"/>
              </w:rPr>
              <w:t> </w:t>
            </w:r>
            <w:r w:rsidRPr="00B817D9">
              <w:rPr>
                <w:rFonts w:ascii="Times New Roman" w:hAnsi="Times New Roman"/>
                <w:sz w:val="24"/>
              </w:rPr>
              <w:t>114 rozporządzenia (UE) nr</w:t>
            </w:r>
            <w:r w:rsidR="00B817D9" w:rsidRPr="00B817D9">
              <w:rPr>
                <w:rFonts w:ascii="Times New Roman" w:hAnsi="Times New Roman"/>
                <w:sz w:val="24"/>
              </w:rPr>
              <w:t> </w:t>
            </w:r>
            <w:r w:rsidRPr="00B817D9">
              <w:rPr>
                <w:rFonts w:ascii="Times New Roman" w:hAnsi="Times New Roman"/>
                <w:sz w:val="24"/>
              </w:rPr>
              <w:t>575/2013. Ekspozycje, które mogą być traktowane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113 ust.</w:t>
            </w:r>
            <w:r w:rsidR="00B817D9" w:rsidRPr="00B817D9">
              <w:rPr>
                <w:rFonts w:ascii="Times New Roman" w:hAnsi="Times New Roman"/>
                <w:sz w:val="24"/>
              </w:rPr>
              <w:t> </w:t>
            </w:r>
            <w:r w:rsidRPr="00B817D9">
              <w:rPr>
                <w:rFonts w:ascii="Times New Roman" w:hAnsi="Times New Roman"/>
                <w:sz w:val="24"/>
              </w:rPr>
              <w:t>7</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114 rozporządzenia (UE) nr</w:t>
            </w:r>
            <w:r w:rsidR="00B817D9" w:rsidRPr="00B817D9">
              <w:rPr>
                <w:rFonts w:ascii="Times New Roman" w:hAnsi="Times New Roman"/>
                <w:sz w:val="24"/>
              </w:rPr>
              <w:t> </w:t>
            </w:r>
            <w:r w:rsidRPr="00B817D9">
              <w:rPr>
                <w:rFonts w:ascii="Times New Roman" w:hAnsi="Times New Roman"/>
                <w:sz w:val="24"/>
              </w:rPr>
              <w:t>575/2013, pod warunkiem że spełnione zostały wszystkie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 ca) rozporządzenia (UE) nr</w:t>
            </w:r>
            <w:r w:rsidR="00B817D9" w:rsidRPr="00B817D9">
              <w:rPr>
                <w:rFonts w:ascii="Times New Roman" w:hAnsi="Times New Roman"/>
                <w:sz w:val="24"/>
              </w:rPr>
              <w:t> </w:t>
            </w:r>
            <w:r w:rsidRPr="00B817D9">
              <w:rPr>
                <w:rFonts w:ascii="Times New Roman" w:hAnsi="Times New Roman"/>
                <w:sz w:val="24"/>
              </w:rPr>
              <w:t xml:space="preserve">575/2013. </w:t>
            </w:r>
          </w:p>
          <w:p w14:paraId="679257E0" w14:textId="6A6CC7FB" w:rsidR="0093277B" w:rsidRPr="00B817D9" w:rsidRDefault="00B96F9D" w:rsidP="00D31203">
            <w:pPr>
              <w:pStyle w:val="BodyText1"/>
              <w:spacing w:after="240" w:line="240" w:lineRule="auto"/>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EC6F1E" w:rsidRPr="00B817D9"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B817D9" w:rsidRDefault="00EC6F1E" w:rsidP="000B66BC">
            <w:pPr>
              <w:pStyle w:val="BodyText1"/>
              <w:spacing w:after="240"/>
              <w:rPr>
                <w:rFonts w:ascii="Times New Roman" w:hAnsi="Times New Roman"/>
                <w:bCs/>
                <w:sz w:val="24"/>
                <w:szCs w:val="24"/>
                <w:highlight w:val="yellow"/>
              </w:rPr>
            </w:pPr>
            <w:r w:rsidRPr="00B817D9">
              <w:rPr>
                <w:rFonts w:ascii="Times New Roman" w:hAnsi="Times New Roman"/>
                <w:sz w:val="24"/>
              </w:rPr>
              <w:t>{0252;0010}</w:t>
            </w:r>
          </w:p>
        </w:tc>
        <w:tc>
          <w:tcPr>
            <w:tcW w:w="7566" w:type="dxa"/>
            <w:tcBorders>
              <w:bottom w:val="single" w:sz="4" w:space="0" w:color="auto"/>
            </w:tcBorders>
            <w:vAlign w:val="center"/>
          </w:tcPr>
          <w:p w14:paraId="6BC877C8" w14:textId="5ED0E9D6" w:rsidR="00EC6F1E" w:rsidRPr="00B817D9" w:rsidRDefault="00EC6F1E"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Wyłączone gwarantowane części ekspozycji</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 xml:space="preserve">ułu kredytów eksportowych </w:t>
            </w:r>
          </w:p>
          <w:p w14:paraId="43FFAEEA" w14:textId="1C289755" w:rsidR="00EC6F1E" w:rsidRPr="00B817D9" w:rsidRDefault="00A42B1A"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f) rozporządzenia (UE) nr</w:t>
            </w:r>
            <w:r w:rsidR="00B817D9" w:rsidRPr="00B817D9">
              <w:rPr>
                <w:rFonts w:ascii="Times New Roman" w:hAnsi="Times New Roman"/>
                <w:sz w:val="24"/>
              </w:rPr>
              <w:t> </w:t>
            </w:r>
            <w:r w:rsidRPr="00B817D9">
              <w:rPr>
                <w:rFonts w:ascii="Times New Roman" w:hAnsi="Times New Roman"/>
                <w:sz w:val="24"/>
              </w:rPr>
              <w:t>575/2013</w:t>
            </w:r>
          </w:p>
          <w:p w14:paraId="0F2E3189" w14:textId="56F858A7" w:rsidR="00EC6F1E" w:rsidRPr="00B817D9" w:rsidRDefault="00EC6F1E"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Objęte gwarancją części ekspozycji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kredytów eksportowych, które można wyłączyć, jeżeli spełnione zostaną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f) rozporządzenia (UE) nr</w:t>
            </w:r>
            <w:r w:rsidR="00B817D9" w:rsidRPr="00B817D9">
              <w:rPr>
                <w:rFonts w:ascii="Times New Roman" w:hAnsi="Times New Roman"/>
                <w:sz w:val="24"/>
              </w:rPr>
              <w:t> </w:t>
            </w:r>
            <w:r w:rsidRPr="00B817D9">
              <w:rPr>
                <w:rFonts w:ascii="Times New Roman" w:hAnsi="Times New Roman"/>
                <w:sz w:val="24"/>
              </w:rPr>
              <w:t>575/2013.</w:t>
            </w:r>
          </w:p>
          <w:p w14:paraId="4BBC9AD0" w14:textId="4903797D" w:rsidR="00EC6F1E" w:rsidRPr="00B817D9" w:rsidRDefault="00EC6F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EC6F1E" w:rsidRPr="00B817D9"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B817D9" w:rsidRDefault="00EC6F1E" w:rsidP="000B66BC">
            <w:pPr>
              <w:pStyle w:val="BodyText1"/>
              <w:spacing w:after="240"/>
              <w:rPr>
                <w:rFonts w:ascii="Times New Roman" w:hAnsi="Times New Roman"/>
                <w:bCs/>
                <w:sz w:val="24"/>
                <w:szCs w:val="24"/>
              </w:rPr>
            </w:pPr>
          </w:p>
          <w:p w14:paraId="323A635F" w14:textId="34C01BC7" w:rsidR="00EC6F1E" w:rsidRPr="00B817D9" w:rsidRDefault="00EC6F1E" w:rsidP="000B66BC">
            <w:pPr>
              <w:pStyle w:val="BodyText1"/>
              <w:spacing w:after="240"/>
              <w:rPr>
                <w:rFonts w:ascii="Times New Roman" w:hAnsi="Times New Roman"/>
                <w:bCs/>
                <w:sz w:val="24"/>
                <w:szCs w:val="24"/>
                <w:highlight w:val="yellow"/>
              </w:rPr>
            </w:pPr>
            <w:r w:rsidRPr="00B817D9">
              <w:rPr>
                <w:rFonts w:ascii="Times New Roman" w:hAnsi="Times New Roman"/>
                <w:sz w:val="24"/>
              </w:rPr>
              <w:t>{0253;0010}</w:t>
            </w:r>
          </w:p>
        </w:tc>
        <w:tc>
          <w:tcPr>
            <w:tcW w:w="7566" w:type="dxa"/>
            <w:tcBorders>
              <w:bottom w:val="single" w:sz="4" w:space="0" w:color="auto"/>
            </w:tcBorders>
            <w:vAlign w:val="center"/>
          </w:tcPr>
          <w:p w14:paraId="050310BA" w14:textId="509820FD" w:rsidR="00EC6F1E" w:rsidRPr="00B817D9" w:rsidRDefault="00EC6F1E"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Wyłączona nadwyżka zabezpieczenia zdeponowana</w:t>
            </w:r>
            <w:r w:rsidR="00B817D9" w:rsidRPr="00B817D9">
              <w:rPr>
                <w:rFonts w:ascii="Times New Roman" w:hAnsi="Times New Roman"/>
                <w:b/>
                <w:color w:val="auto"/>
                <w:sz w:val="24"/>
              </w:rPr>
              <w:t xml:space="preserve"> u</w:t>
            </w:r>
            <w:r w:rsidR="00B817D9">
              <w:rPr>
                <w:rFonts w:ascii="Times New Roman" w:hAnsi="Times New Roman"/>
                <w:b/>
                <w:color w:val="auto"/>
                <w:sz w:val="24"/>
              </w:rPr>
              <w:t> </w:t>
            </w:r>
            <w:r w:rsidR="00B817D9" w:rsidRPr="00B817D9">
              <w:rPr>
                <w:rFonts w:ascii="Times New Roman" w:hAnsi="Times New Roman"/>
                <w:b/>
                <w:color w:val="auto"/>
                <w:sz w:val="24"/>
              </w:rPr>
              <w:t>age</w:t>
            </w:r>
            <w:r w:rsidRPr="00B817D9">
              <w:rPr>
                <w:rFonts w:ascii="Times New Roman" w:hAnsi="Times New Roman"/>
                <w:b/>
                <w:color w:val="auto"/>
                <w:sz w:val="24"/>
              </w:rPr>
              <w:t>ntów trójstronnych</w:t>
            </w:r>
          </w:p>
          <w:p w14:paraId="209C179F" w14:textId="2406EB87" w:rsidR="00EC6F1E" w:rsidRPr="00B817D9" w:rsidRDefault="00A42B1A"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k) rozporządzenia (UE) nr</w:t>
            </w:r>
            <w:r w:rsidR="00B817D9" w:rsidRPr="00B817D9">
              <w:rPr>
                <w:rFonts w:ascii="Times New Roman" w:hAnsi="Times New Roman"/>
                <w:sz w:val="24"/>
              </w:rPr>
              <w:t> </w:t>
            </w:r>
            <w:r w:rsidRPr="00B817D9">
              <w:rPr>
                <w:rFonts w:ascii="Times New Roman" w:hAnsi="Times New Roman"/>
                <w:sz w:val="24"/>
              </w:rPr>
              <w:t>575/2013</w:t>
            </w:r>
          </w:p>
          <w:p w14:paraId="64B746C7" w14:textId="7B029904" w:rsidR="00EC6F1E" w:rsidRPr="00B817D9" w:rsidRDefault="00EC6F1E"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Zdeponowana</w:t>
            </w:r>
            <w:r w:rsidR="00B817D9" w:rsidRPr="00B817D9">
              <w:rPr>
                <w:rFonts w:ascii="Times New Roman" w:hAnsi="Times New Roman"/>
                <w:sz w:val="24"/>
              </w:rPr>
              <w:t xml:space="preserve"> u</w:t>
            </w:r>
            <w:r w:rsidR="00B817D9">
              <w:rPr>
                <w:rFonts w:ascii="Times New Roman" w:hAnsi="Times New Roman"/>
                <w:sz w:val="24"/>
              </w:rPr>
              <w:t> </w:t>
            </w:r>
            <w:r w:rsidR="00B817D9" w:rsidRPr="00B817D9">
              <w:rPr>
                <w:rFonts w:ascii="Times New Roman" w:hAnsi="Times New Roman"/>
                <w:sz w:val="24"/>
              </w:rPr>
              <w:t>age</w:t>
            </w:r>
            <w:r w:rsidRPr="00B817D9">
              <w:rPr>
                <w:rFonts w:ascii="Times New Roman" w:hAnsi="Times New Roman"/>
                <w:sz w:val="24"/>
              </w:rPr>
              <w:t>ntów trójstronnych nadwyżka zabezpieczenia, która nie jest przedmiotem udzielonej pożyczki</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rą można wyłączyć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k).</w:t>
            </w:r>
          </w:p>
          <w:p w14:paraId="7D107153" w14:textId="1206DB14" w:rsidR="00EC6F1E" w:rsidRPr="00B817D9" w:rsidRDefault="00EC6F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EC6F1E" w:rsidRPr="00B817D9"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B817D9" w:rsidRDefault="00EC6F1E" w:rsidP="000B66BC">
            <w:pPr>
              <w:pStyle w:val="BodyText1"/>
              <w:spacing w:after="240"/>
              <w:rPr>
                <w:rFonts w:ascii="Times New Roman" w:hAnsi="Times New Roman"/>
                <w:bCs/>
                <w:sz w:val="24"/>
                <w:szCs w:val="24"/>
              </w:rPr>
            </w:pPr>
            <w:r w:rsidRPr="00B817D9">
              <w:rPr>
                <w:rFonts w:ascii="Times New Roman" w:hAnsi="Times New Roman"/>
                <w:sz w:val="24"/>
              </w:rPr>
              <w:lastRenderedPageBreak/>
              <w:t>{0254;0010}</w:t>
            </w:r>
          </w:p>
        </w:tc>
        <w:tc>
          <w:tcPr>
            <w:tcW w:w="7566" w:type="dxa"/>
            <w:tcBorders>
              <w:bottom w:val="single" w:sz="4" w:space="0" w:color="auto"/>
            </w:tcBorders>
            <w:vAlign w:val="center"/>
          </w:tcPr>
          <w:p w14:paraId="665021DC" w14:textId="77777777" w:rsidR="00EC6F1E" w:rsidRPr="00B817D9" w:rsidRDefault="00EC6F1E"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xml:space="preserve">(-) Wyłączone ekspozycje sekurytyzowane stanowiące przeniesienie istotnej części ryzyka </w:t>
            </w:r>
          </w:p>
          <w:p w14:paraId="69C77F33" w14:textId="3161856F" w:rsidR="00EC6F1E" w:rsidRPr="00B817D9" w:rsidRDefault="00A42B1A"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m) rozporządzenia (UE) nr</w:t>
            </w:r>
            <w:r w:rsidR="00B817D9" w:rsidRPr="00B817D9">
              <w:rPr>
                <w:rFonts w:ascii="Times New Roman" w:hAnsi="Times New Roman"/>
                <w:sz w:val="24"/>
              </w:rPr>
              <w:t> </w:t>
            </w:r>
            <w:r w:rsidRPr="00B817D9">
              <w:rPr>
                <w:rFonts w:ascii="Times New Roman" w:hAnsi="Times New Roman"/>
                <w:sz w:val="24"/>
              </w:rPr>
              <w:t>575/2013</w:t>
            </w:r>
          </w:p>
          <w:p w14:paraId="17E7D3CF" w14:textId="0002A773" w:rsidR="00EC6F1E" w:rsidRPr="00B817D9" w:rsidRDefault="00EC6F1E" w:rsidP="000B66BC">
            <w:pPr>
              <w:pStyle w:val="BodyText1"/>
              <w:spacing w:after="240" w:line="240" w:lineRule="auto"/>
              <w:rPr>
                <w:rFonts w:ascii="Times New Roman" w:hAnsi="Times New Roman"/>
                <w:bCs/>
                <w:sz w:val="24"/>
                <w:szCs w:val="24"/>
              </w:rPr>
            </w:pPr>
            <w:r w:rsidRPr="00B817D9">
              <w:rPr>
                <w:rFonts w:ascii="Times New Roman" w:hAnsi="Times New Roman"/>
                <w:sz w:val="24"/>
              </w:rPr>
              <w:t>Sekurytyzowane ekspozycje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tradycyjnych sekurytyzacji, które spełniają warunki przeniesienia istotnej części ryzyka ustanowione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244 ust.</w:t>
            </w:r>
            <w:r w:rsidR="00B817D9" w:rsidRPr="00B817D9">
              <w:rPr>
                <w:rFonts w:ascii="Times New Roman" w:hAnsi="Times New Roman"/>
                <w:sz w:val="24"/>
              </w:rPr>
              <w:t> </w:t>
            </w:r>
            <w:r w:rsidRPr="00B817D9">
              <w:rPr>
                <w:rFonts w:ascii="Times New Roman" w:hAnsi="Times New Roman"/>
                <w:sz w:val="24"/>
              </w:rPr>
              <w:t>2.</w:t>
            </w:r>
          </w:p>
          <w:p w14:paraId="56BAB74A" w14:textId="098C08CA" w:rsidR="00EC6F1E" w:rsidRPr="00B817D9" w:rsidRDefault="00EC6F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EC6F1E" w:rsidRPr="00B817D9"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B817D9" w:rsidRDefault="00EC6F1E" w:rsidP="000B66BC">
            <w:pPr>
              <w:pStyle w:val="BodyText1"/>
              <w:spacing w:after="240"/>
              <w:rPr>
                <w:rFonts w:ascii="Times New Roman" w:hAnsi="Times New Roman"/>
                <w:bCs/>
                <w:sz w:val="24"/>
                <w:szCs w:val="24"/>
              </w:rPr>
            </w:pPr>
            <w:r w:rsidRPr="00B817D9">
              <w:rPr>
                <w:rFonts w:ascii="Times New Roman" w:hAnsi="Times New Roman"/>
                <w:sz w:val="24"/>
              </w:rPr>
              <w:t>{0255;0010}</w:t>
            </w:r>
          </w:p>
        </w:tc>
        <w:tc>
          <w:tcPr>
            <w:tcW w:w="7566" w:type="dxa"/>
            <w:tcBorders>
              <w:bottom w:val="single" w:sz="4" w:space="0" w:color="auto"/>
            </w:tcBorders>
            <w:vAlign w:val="center"/>
          </w:tcPr>
          <w:p w14:paraId="43716DF9" w14:textId="3A03D374" w:rsidR="00EC6F1E" w:rsidRPr="00B817D9" w:rsidRDefault="00EC6F1E" w:rsidP="000B66BC">
            <w:pPr>
              <w:pStyle w:val="BodyText1"/>
              <w:spacing w:after="240" w:line="240" w:lineRule="auto"/>
              <w:rPr>
                <w:rFonts w:ascii="Times New Roman" w:hAnsi="Times New Roman"/>
                <w:color w:val="auto"/>
                <w:sz w:val="24"/>
                <w:szCs w:val="24"/>
              </w:rPr>
            </w:pPr>
            <w:r w:rsidRPr="00B817D9">
              <w:rPr>
                <w:rFonts w:ascii="Times New Roman" w:hAnsi="Times New Roman"/>
                <w:b/>
                <w:color w:val="auto"/>
                <w:sz w:val="24"/>
              </w:rPr>
              <w:t>(-) Ekspozycje wobec banku centralnego wyłączone zgodnie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art</w:t>
            </w:r>
            <w:r w:rsidRPr="00B817D9">
              <w:rPr>
                <w:rFonts w:ascii="Times New Roman" w:hAnsi="Times New Roman"/>
                <w:b/>
                <w:color w:val="auto"/>
                <w:sz w:val="24"/>
              </w:rPr>
              <w:t>. 429a ust. 1 lit. n) CRR</w:t>
            </w:r>
          </w:p>
          <w:p w14:paraId="737C879F" w14:textId="4144135A" w:rsidR="00EC6F1E" w:rsidRPr="00B817D9" w:rsidRDefault="00DE2482"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n) rozporządzenia (UE) nr</w:t>
            </w:r>
            <w:r w:rsidR="00B817D9" w:rsidRPr="00B817D9">
              <w:rPr>
                <w:rFonts w:ascii="Times New Roman" w:hAnsi="Times New Roman"/>
                <w:sz w:val="24"/>
              </w:rPr>
              <w:t> </w:t>
            </w:r>
            <w:r w:rsidRPr="00B817D9">
              <w:rPr>
                <w:rFonts w:ascii="Times New Roman" w:hAnsi="Times New Roman"/>
                <w:sz w:val="24"/>
              </w:rPr>
              <w:t>575/2013</w:t>
            </w:r>
          </w:p>
          <w:p w14:paraId="300950AF" w14:textId="2A602564" w:rsidR="00EC6F1E" w:rsidRPr="00B817D9" w:rsidRDefault="00EC6F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EC6F1E" w:rsidRPr="00B817D9"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B817D9" w:rsidRDefault="00EC6F1E" w:rsidP="000B66BC">
            <w:pPr>
              <w:pStyle w:val="BodyText1"/>
              <w:spacing w:after="240"/>
              <w:rPr>
                <w:rFonts w:ascii="Times New Roman" w:hAnsi="Times New Roman"/>
                <w:bCs/>
                <w:sz w:val="24"/>
                <w:szCs w:val="24"/>
              </w:rPr>
            </w:pPr>
            <w:r w:rsidRPr="00B817D9">
              <w:rPr>
                <w:rFonts w:ascii="Times New Roman" w:hAnsi="Times New Roman"/>
                <w:sz w:val="24"/>
              </w:rPr>
              <w:t>{0256;0010}</w:t>
            </w:r>
          </w:p>
        </w:tc>
        <w:tc>
          <w:tcPr>
            <w:tcW w:w="7566" w:type="dxa"/>
            <w:tcBorders>
              <w:bottom w:val="single" w:sz="4" w:space="0" w:color="auto"/>
            </w:tcBorders>
            <w:vAlign w:val="center"/>
          </w:tcPr>
          <w:p w14:paraId="0B0A550F" w14:textId="2EF450FA" w:rsidR="00EC6F1E" w:rsidRPr="00B817D9" w:rsidRDefault="00EC6F1E"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Bankowe usługi pomocnicze świadczone przez CDPW/instytucje, wyłączone zgodnie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art</w:t>
            </w:r>
            <w:r w:rsidRPr="00B817D9">
              <w:rPr>
                <w:rFonts w:ascii="Times New Roman" w:hAnsi="Times New Roman"/>
                <w:b/>
                <w:color w:val="auto"/>
                <w:sz w:val="24"/>
              </w:rPr>
              <w:t>.</w:t>
            </w:r>
            <w:r w:rsidR="00B817D9" w:rsidRPr="00B817D9">
              <w:rPr>
                <w:rFonts w:ascii="Times New Roman" w:hAnsi="Times New Roman"/>
                <w:b/>
                <w:color w:val="auto"/>
                <w:sz w:val="24"/>
              </w:rPr>
              <w:t> </w:t>
            </w:r>
            <w:r w:rsidRPr="00B817D9">
              <w:rPr>
                <w:rFonts w:ascii="Times New Roman" w:hAnsi="Times New Roman"/>
                <w:b/>
                <w:color w:val="auto"/>
                <w:sz w:val="24"/>
              </w:rPr>
              <w:t>429a ust.</w:t>
            </w:r>
            <w:r w:rsidR="00B817D9" w:rsidRPr="00B817D9">
              <w:rPr>
                <w:rFonts w:ascii="Times New Roman" w:hAnsi="Times New Roman"/>
                <w:b/>
                <w:color w:val="auto"/>
                <w:sz w:val="24"/>
              </w:rPr>
              <w:t> </w:t>
            </w:r>
            <w:r w:rsidRPr="00B817D9">
              <w:rPr>
                <w:rFonts w:ascii="Times New Roman" w:hAnsi="Times New Roman"/>
                <w:b/>
                <w:color w:val="auto"/>
                <w:sz w:val="24"/>
              </w:rPr>
              <w:t>1 lit.</w:t>
            </w:r>
            <w:r w:rsidR="00B817D9" w:rsidRPr="00B817D9">
              <w:rPr>
                <w:rFonts w:ascii="Times New Roman" w:hAnsi="Times New Roman"/>
                <w:b/>
                <w:color w:val="auto"/>
                <w:sz w:val="24"/>
              </w:rPr>
              <w:t> </w:t>
            </w:r>
            <w:r w:rsidRPr="00B817D9">
              <w:rPr>
                <w:rFonts w:ascii="Times New Roman" w:hAnsi="Times New Roman"/>
                <w:b/>
                <w:color w:val="auto"/>
                <w:sz w:val="24"/>
              </w:rPr>
              <w:t>o) rozporządzenia (UE) nr</w:t>
            </w:r>
            <w:r w:rsidR="00B817D9" w:rsidRPr="00B817D9">
              <w:rPr>
                <w:rFonts w:ascii="Times New Roman" w:hAnsi="Times New Roman"/>
                <w:b/>
                <w:color w:val="auto"/>
                <w:sz w:val="24"/>
              </w:rPr>
              <w:t> </w:t>
            </w:r>
            <w:r w:rsidRPr="00B817D9">
              <w:rPr>
                <w:rFonts w:ascii="Times New Roman" w:hAnsi="Times New Roman"/>
                <w:b/>
                <w:color w:val="auto"/>
                <w:sz w:val="24"/>
              </w:rPr>
              <w:t>575/2013</w:t>
            </w:r>
          </w:p>
          <w:p w14:paraId="5D17ABE6" w14:textId="7435F829" w:rsidR="00EC6F1E" w:rsidRPr="00B817D9" w:rsidRDefault="00F82681"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o) rozporządzenia (UE) nr</w:t>
            </w:r>
            <w:r w:rsidR="00B817D9" w:rsidRPr="00B817D9">
              <w:rPr>
                <w:rFonts w:ascii="Times New Roman" w:hAnsi="Times New Roman"/>
                <w:sz w:val="24"/>
              </w:rPr>
              <w:t> </w:t>
            </w:r>
            <w:r w:rsidRPr="00B817D9">
              <w:rPr>
                <w:rFonts w:ascii="Times New Roman" w:hAnsi="Times New Roman"/>
                <w:sz w:val="24"/>
              </w:rPr>
              <w:t>575/2013</w:t>
            </w:r>
          </w:p>
          <w:p w14:paraId="2A59DF82" w14:textId="6733618F" w:rsidR="00EC6F1E" w:rsidRPr="00B817D9" w:rsidRDefault="00EC6F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EC6F1E" w:rsidRPr="00B817D9"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B817D9" w:rsidRDefault="0001312C" w:rsidP="000B66BC">
            <w:pPr>
              <w:pStyle w:val="BodyText1"/>
              <w:spacing w:after="240"/>
              <w:rPr>
                <w:rFonts w:ascii="Times New Roman" w:hAnsi="Times New Roman"/>
                <w:bCs/>
                <w:sz w:val="24"/>
                <w:szCs w:val="24"/>
              </w:rPr>
            </w:pPr>
            <w:r w:rsidRPr="00B817D9">
              <w:rPr>
                <w:rFonts w:ascii="Times New Roman" w:hAnsi="Times New Roman"/>
                <w:sz w:val="24"/>
              </w:rPr>
              <w:t>{0257;0010}</w:t>
            </w:r>
          </w:p>
        </w:tc>
        <w:tc>
          <w:tcPr>
            <w:tcW w:w="7566" w:type="dxa"/>
            <w:tcBorders>
              <w:bottom w:val="single" w:sz="4" w:space="0" w:color="auto"/>
            </w:tcBorders>
            <w:vAlign w:val="center"/>
          </w:tcPr>
          <w:p w14:paraId="4CA8E235" w14:textId="39B2D7E9" w:rsidR="00EC6F1E" w:rsidRPr="00B817D9" w:rsidRDefault="00EC6F1E"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Bankowe usługi pomocnicze świadczone przez wyznaczone instytucje, wyłączone zgodnie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art</w:t>
            </w:r>
            <w:r w:rsidRPr="00B817D9">
              <w:rPr>
                <w:rFonts w:ascii="Times New Roman" w:hAnsi="Times New Roman"/>
                <w:b/>
                <w:color w:val="auto"/>
                <w:sz w:val="24"/>
              </w:rPr>
              <w:t>. 429a ust. 1 lit. p) CRR</w:t>
            </w:r>
          </w:p>
          <w:p w14:paraId="290DEB1D" w14:textId="1848708F" w:rsidR="00F82681" w:rsidRPr="00B817D9" w:rsidRDefault="00B329C6"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p) rozporządzenia (UE) nr</w:t>
            </w:r>
            <w:r w:rsidR="00B817D9" w:rsidRPr="00B817D9">
              <w:rPr>
                <w:rFonts w:ascii="Times New Roman" w:hAnsi="Times New Roman"/>
                <w:sz w:val="24"/>
              </w:rPr>
              <w:t> </w:t>
            </w:r>
            <w:r w:rsidRPr="00B817D9">
              <w:rPr>
                <w:rFonts w:ascii="Times New Roman" w:hAnsi="Times New Roman"/>
                <w:sz w:val="24"/>
              </w:rPr>
              <w:t>575/2013</w:t>
            </w:r>
          </w:p>
          <w:p w14:paraId="302E407B" w14:textId="6943D351" w:rsidR="00EC6F1E" w:rsidRPr="00B817D9" w:rsidRDefault="00EC6F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CB48CC" w:rsidRPr="00B817D9" w14:paraId="759771C3" w14:textId="77777777" w:rsidTr="008979D2">
        <w:trPr>
          <w:trHeight w:val="304"/>
        </w:trPr>
        <w:tc>
          <w:tcPr>
            <w:tcW w:w="1555" w:type="dxa"/>
            <w:gridSpan w:val="2"/>
            <w:tcBorders>
              <w:bottom w:val="single" w:sz="4" w:space="0" w:color="auto"/>
            </w:tcBorders>
          </w:tcPr>
          <w:p w14:paraId="523A3FCF" w14:textId="6DF532E0"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{0260;0010}</w:t>
            </w:r>
          </w:p>
        </w:tc>
        <w:tc>
          <w:tcPr>
            <w:tcW w:w="7566" w:type="dxa"/>
            <w:tcBorders>
              <w:bottom w:val="single" w:sz="4" w:space="0" w:color="auto"/>
            </w:tcBorders>
          </w:tcPr>
          <w:p w14:paraId="1FAED4EC" w14:textId="4AF0837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 Ekspozycje wyłączone zgodnie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 429a ust. 1 lit. j) CRR</w:t>
            </w:r>
          </w:p>
          <w:p w14:paraId="218BC8E5" w14:textId="4E43E794" w:rsidR="00CB48CC" w:rsidRPr="00B817D9" w:rsidRDefault="00B329C6"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j) rozporządzenia (UE) nr</w:t>
            </w:r>
            <w:r w:rsidR="00B817D9" w:rsidRPr="00B817D9">
              <w:rPr>
                <w:rFonts w:ascii="Times New Roman" w:hAnsi="Times New Roman"/>
                <w:sz w:val="24"/>
              </w:rPr>
              <w:t> </w:t>
            </w:r>
            <w:r w:rsidRPr="00B817D9">
              <w:rPr>
                <w:rFonts w:ascii="Times New Roman" w:hAnsi="Times New Roman"/>
                <w:sz w:val="24"/>
              </w:rPr>
              <w:t>575/2013</w:t>
            </w:r>
          </w:p>
          <w:p w14:paraId="3A1ACCB0" w14:textId="4C3A6D9D"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Ekspozycje wyłączone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j) rozporządzenia (UE) nr</w:t>
            </w:r>
            <w:r w:rsidR="00B817D9" w:rsidRPr="00B817D9">
              <w:rPr>
                <w:rFonts w:ascii="Times New Roman" w:hAnsi="Times New Roman"/>
                <w:sz w:val="24"/>
              </w:rPr>
              <w:t> </w:t>
            </w:r>
            <w:r w:rsidRPr="00B817D9">
              <w:rPr>
                <w:rFonts w:ascii="Times New Roman" w:hAnsi="Times New Roman"/>
                <w:sz w:val="24"/>
              </w:rPr>
              <w:t>575/2013, pod warunkiem że spełnione zostały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przepisie warunki.</w:t>
            </w:r>
          </w:p>
          <w:p w14:paraId="639566D9" w14:textId="0C6C6DA4"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CB48CC" w:rsidRPr="00B817D9"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B817D9" w:rsidRDefault="00946138" w:rsidP="000B66BC">
            <w:pPr>
              <w:pStyle w:val="BodyText1"/>
              <w:spacing w:after="240"/>
              <w:rPr>
                <w:rFonts w:ascii="Times New Roman" w:hAnsi="Times New Roman"/>
                <w:bCs/>
                <w:sz w:val="24"/>
                <w:szCs w:val="24"/>
                <w:highlight w:val="yellow"/>
              </w:rPr>
            </w:pPr>
            <w:r w:rsidRPr="00B817D9">
              <w:rPr>
                <w:rFonts w:ascii="Times New Roman" w:hAnsi="Times New Roman"/>
                <w:sz w:val="24"/>
              </w:rPr>
              <w:lastRenderedPageBreak/>
              <w:t>{0261;0010}</w:t>
            </w:r>
          </w:p>
        </w:tc>
        <w:tc>
          <w:tcPr>
            <w:tcW w:w="7566" w:type="dxa"/>
            <w:tcBorders>
              <w:bottom w:val="single" w:sz="4" w:space="0" w:color="auto"/>
            </w:tcBorders>
            <w:vAlign w:val="center"/>
          </w:tcPr>
          <w:p w14:paraId="7117C87C" w14:textId="7829B627" w:rsidR="00743C1E" w:rsidRPr="00B817D9" w:rsidRDefault="009D46F6" w:rsidP="000B66BC">
            <w:pPr>
              <w:pStyle w:val="BodyText1"/>
              <w:spacing w:after="240" w:line="240" w:lineRule="auto"/>
              <w:rPr>
                <w:rFonts w:ascii="Times New Roman" w:hAnsi="Times New Roman"/>
                <w:color w:val="auto"/>
                <w:sz w:val="24"/>
                <w:szCs w:val="24"/>
              </w:rPr>
            </w:pPr>
            <w:r w:rsidRPr="00B817D9">
              <w:rPr>
                <w:rFonts w:ascii="Times New Roman" w:hAnsi="Times New Roman"/>
                <w:color w:val="auto"/>
                <w:sz w:val="24"/>
              </w:rPr>
              <w:t xml:space="preserve"> </w:t>
            </w:r>
            <w:r w:rsidRPr="00B817D9">
              <w:rPr>
                <w:rFonts w:ascii="Times New Roman" w:hAnsi="Times New Roman"/>
                <w:b/>
                <w:color w:val="auto"/>
                <w:sz w:val="24"/>
              </w:rPr>
              <w:t>(-) Wyłączone ekspozycje publicznych instytucji kredytowych wspierających rozwój – inwestycje sektora publicznego</w:t>
            </w:r>
          </w:p>
          <w:p w14:paraId="387343FE" w14:textId="17EB2428" w:rsidR="00743C1E" w:rsidRPr="00B817D9" w:rsidRDefault="00993549"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p>
          <w:p w14:paraId="740BFE27" w14:textId="0374ED39" w:rsidR="00743C1E" w:rsidRPr="00B817D9" w:rsidRDefault="00743C1E"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Ekspozycje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aktywów, które stanowią należności od rządów centralnych, samorządów regionalnych, władz lokalnych lub podmiotów sektora publicznego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inw</w:t>
            </w:r>
            <w:r w:rsidRPr="00B817D9">
              <w:rPr>
                <w:rFonts w:ascii="Times New Roman" w:hAnsi="Times New Roman"/>
                <w:sz w:val="24"/>
              </w:rPr>
              <w:t>estycjami sektora publicznego, które można wyłączyć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 rozporządzenia (UE) nr</w:t>
            </w:r>
            <w:r w:rsidR="00B817D9" w:rsidRPr="00B817D9">
              <w:rPr>
                <w:rFonts w:ascii="Times New Roman" w:hAnsi="Times New Roman"/>
                <w:sz w:val="24"/>
              </w:rPr>
              <w:t> </w:t>
            </w:r>
            <w:r w:rsidRPr="00B817D9">
              <w:rPr>
                <w:rFonts w:ascii="Times New Roman" w:hAnsi="Times New Roman"/>
                <w:sz w:val="24"/>
              </w:rPr>
              <w:t>575/2013.</w:t>
            </w:r>
          </w:p>
          <w:p w14:paraId="0B2209FE" w14:textId="3D5B02A3" w:rsidR="000F5958" w:rsidRPr="00B817D9" w:rsidRDefault="000F5958" w:rsidP="000B66BC">
            <w:pPr>
              <w:pStyle w:val="BodyText1"/>
              <w:spacing w:after="240" w:line="240" w:lineRule="auto"/>
              <w:rPr>
                <w:rFonts w:ascii="Times New Roman" w:hAnsi="Times New Roman"/>
                <w:color w:val="auto"/>
                <w:sz w:val="24"/>
                <w:szCs w:val="24"/>
              </w:rPr>
            </w:pPr>
            <w:r w:rsidRPr="00B817D9">
              <w:rPr>
                <w:rFonts w:ascii="Times New Roman" w:hAnsi="Times New Roman"/>
                <w:color w:val="auto"/>
                <w:sz w:val="24"/>
              </w:rPr>
              <w:t>Jeżeli należność kwalifikuje się również jako kredyt preferencyjny na mocy art.</w:t>
            </w:r>
            <w:r w:rsidR="00B817D9" w:rsidRPr="00B817D9">
              <w:rPr>
                <w:rFonts w:ascii="Times New Roman" w:hAnsi="Times New Roman"/>
                <w:color w:val="auto"/>
                <w:sz w:val="24"/>
              </w:rPr>
              <w:t> </w:t>
            </w:r>
            <w:r w:rsidRPr="00B817D9">
              <w:rPr>
                <w:rFonts w:ascii="Times New Roman" w:hAnsi="Times New Roman"/>
                <w:color w:val="auto"/>
                <w:sz w:val="24"/>
              </w:rPr>
              <w:t>429a ust.</w:t>
            </w:r>
            <w:r w:rsidR="00B817D9" w:rsidRPr="00B817D9">
              <w:rPr>
                <w:rFonts w:ascii="Times New Roman" w:hAnsi="Times New Roman"/>
                <w:color w:val="auto"/>
                <w:sz w:val="24"/>
              </w:rPr>
              <w:t> </w:t>
            </w:r>
            <w:r w:rsidRPr="00B817D9">
              <w:rPr>
                <w:rFonts w:ascii="Times New Roman" w:hAnsi="Times New Roman"/>
                <w:color w:val="auto"/>
                <w:sz w:val="24"/>
              </w:rPr>
              <w:t>3, nie zgłasza się jej</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tej</w:t>
            </w:r>
            <w:r w:rsidRPr="00B817D9">
              <w:rPr>
                <w:rFonts w:ascii="Times New Roman" w:hAnsi="Times New Roman"/>
                <w:color w:val="auto"/>
                <w:sz w:val="24"/>
              </w:rPr>
              <w:t xml:space="preserve"> komórce, ale</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sto</w:t>
            </w:r>
            <w:r w:rsidRPr="00B817D9">
              <w:rPr>
                <w:rFonts w:ascii="Times New Roman" w:hAnsi="Times New Roman"/>
                <w:color w:val="auto"/>
                <w:sz w:val="24"/>
              </w:rPr>
              <w:t>sownych przypadkach</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rszach 0262–0264.</w:t>
            </w:r>
          </w:p>
          <w:p w14:paraId="1F103E32" w14:textId="6D3DFC9A" w:rsidR="00743C1E" w:rsidRPr="00B817D9" w:rsidRDefault="00743C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CB48CC" w:rsidRPr="00B817D9"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B817D9" w:rsidRDefault="00946138" w:rsidP="000B66BC">
            <w:pPr>
              <w:pStyle w:val="BodyText1"/>
              <w:spacing w:after="240"/>
              <w:rPr>
                <w:rFonts w:ascii="Times New Roman" w:hAnsi="Times New Roman"/>
                <w:bCs/>
                <w:sz w:val="24"/>
                <w:szCs w:val="24"/>
                <w:highlight w:val="yellow"/>
              </w:rPr>
            </w:pPr>
            <w:r w:rsidRPr="00B817D9">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B817D9" w:rsidRDefault="00946138"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Wyłączone ekspozycje publicznych instytucji kredytowych wspierających rozwój – kredyty preferencyjne udzielone przez publiczną instytucję kredytową wspierającą rozwój</w:t>
            </w:r>
          </w:p>
          <w:p w14:paraId="30828A29" w14:textId="119DCBF0" w:rsidR="00743C1E" w:rsidRPr="00B817D9" w:rsidRDefault="00542529"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672E00E2" w14:textId="46F34BA2" w:rsidR="00743C1E" w:rsidRPr="00B817D9" w:rsidRDefault="00743C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Ekspozycje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kre</w:t>
            </w:r>
            <w:r w:rsidRPr="00B817D9">
              <w:rPr>
                <w:rFonts w:ascii="Times New Roman" w:hAnsi="Times New Roman"/>
                <w:sz w:val="24"/>
              </w:rPr>
              <w:t>dytów preferencyjnych,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przeniesienia kredytów preferencyjnych, udzielanych przez publiczne kredytowe instytucje wspierające rozwój, które można wyłączyć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 rozporządzenia (UE) nr</w:t>
            </w:r>
            <w:r w:rsidR="00B817D9" w:rsidRPr="00B817D9">
              <w:rPr>
                <w:rFonts w:ascii="Times New Roman" w:hAnsi="Times New Roman"/>
                <w:sz w:val="24"/>
              </w:rPr>
              <w:t> </w:t>
            </w:r>
            <w:r w:rsidRPr="00B817D9">
              <w:rPr>
                <w:rFonts w:ascii="Times New Roman" w:hAnsi="Times New Roman"/>
                <w:sz w:val="24"/>
              </w:rPr>
              <w:t>575/2013.</w:t>
            </w:r>
            <w:r w:rsidRPr="00B817D9">
              <w:rPr>
                <w:rFonts w:ascii="Times New Roman" w:hAnsi="Times New Roman"/>
                <w:color w:val="auto"/>
                <w:sz w:val="24"/>
              </w:rPr>
              <w:t xml:space="preserve"> </w:t>
            </w:r>
            <w:r w:rsidRPr="00B817D9">
              <w:rPr>
                <w:rFonts w:ascii="Times New Roman" w:hAnsi="Times New Roman"/>
                <w:sz w:val="24"/>
              </w:rPr>
              <w:t>Należy uwzględnić również ekspozycje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 rozporządzenia (UE) nr</w:t>
            </w:r>
            <w:r w:rsidR="00B817D9" w:rsidRPr="00B817D9">
              <w:rPr>
                <w:rFonts w:ascii="Times New Roman" w:hAnsi="Times New Roman"/>
                <w:sz w:val="24"/>
              </w:rPr>
              <w:t> </w:t>
            </w:r>
            <w:r w:rsidRPr="00B817D9">
              <w:rPr>
                <w:rFonts w:ascii="Times New Roman" w:hAnsi="Times New Roman"/>
                <w:sz w:val="24"/>
              </w:rPr>
              <w:t>575/2013.</w:t>
            </w:r>
          </w:p>
          <w:p w14:paraId="64C77AD5" w14:textId="74893D63" w:rsidR="00743C1E" w:rsidRPr="00B817D9" w:rsidRDefault="00743C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CB48CC" w:rsidRPr="00B817D9"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B817D9" w:rsidRDefault="00946138" w:rsidP="000B66BC">
            <w:pPr>
              <w:pStyle w:val="BodyText1"/>
              <w:spacing w:after="240"/>
              <w:rPr>
                <w:rFonts w:ascii="Times New Roman" w:hAnsi="Times New Roman"/>
                <w:bCs/>
                <w:sz w:val="24"/>
                <w:szCs w:val="24"/>
                <w:highlight w:val="yellow"/>
              </w:rPr>
            </w:pPr>
            <w:r w:rsidRPr="00B817D9">
              <w:rPr>
                <w:rFonts w:ascii="Times New Roman" w:hAnsi="Times New Roman"/>
                <w:sz w:val="24"/>
              </w:rPr>
              <w:t>{0263;0010}</w:t>
            </w:r>
          </w:p>
        </w:tc>
        <w:tc>
          <w:tcPr>
            <w:tcW w:w="7566" w:type="dxa"/>
            <w:tcBorders>
              <w:bottom w:val="single" w:sz="4" w:space="0" w:color="auto"/>
            </w:tcBorders>
            <w:vAlign w:val="center"/>
          </w:tcPr>
          <w:p w14:paraId="7CBAF840" w14:textId="77777777" w:rsidR="00946138" w:rsidRPr="00B817D9" w:rsidRDefault="00946138"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Wyłączone ekspozycje publicznych instytucji kredytowych wspierających rozwój – kredyty preferencyjne udzielone przez podmiot utworzony bezpośrednio przez rząd centralny, samorządy regionalne lub władze lokalne państwa członkowskiego</w:t>
            </w:r>
          </w:p>
          <w:p w14:paraId="4B17F8AE" w14:textId="55D2DC72" w:rsidR="009D46F6" w:rsidRPr="00B817D9" w:rsidRDefault="00C36AC0"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6FAF30DE" w14:textId="62E4BC10" w:rsidR="00E849C2" w:rsidRPr="00B817D9" w:rsidRDefault="00E849C2"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Ekspozycje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kre</w:t>
            </w:r>
            <w:r w:rsidRPr="00B817D9">
              <w:rPr>
                <w:rFonts w:ascii="Times New Roman" w:hAnsi="Times New Roman"/>
                <w:sz w:val="24"/>
              </w:rPr>
              <w:t>dytów preferencyjnych,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przeniesienia kredytów preferencyjnych, udzielanych przez podmiot utworzony </w:t>
            </w:r>
            <w:r w:rsidRPr="00B817D9">
              <w:rPr>
                <w:rFonts w:ascii="Times New Roman" w:hAnsi="Times New Roman"/>
                <w:sz w:val="24"/>
              </w:rPr>
              <w:lastRenderedPageBreak/>
              <w:t>bezpośrednio przez rząd centralny, samorządy regionalne lub władze lokalne państwa członkowskiego, które można wyłączyć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 Należy uwzględnić również ekspozycje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p w14:paraId="5A3364FC" w14:textId="11206D3B" w:rsidR="00743C1E" w:rsidRPr="00B817D9" w:rsidRDefault="00743C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CB48CC" w:rsidRPr="00B817D9"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B817D9" w:rsidRDefault="00946138" w:rsidP="000B66BC">
            <w:pPr>
              <w:pStyle w:val="BodyText1"/>
              <w:spacing w:after="240"/>
              <w:rPr>
                <w:rFonts w:ascii="Times New Roman" w:hAnsi="Times New Roman"/>
                <w:bCs/>
                <w:sz w:val="24"/>
                <w:szCs w:val="24"/>
                <w:highlight w:val="yellow"/>
              </w:rPr>
            </w:pPr>
            <w:r w:rsidRPr="00B817D9">
              <w:rPr>
                <w:rFonts w:ascii="Times New Roman" w:hAnsi="Times New Roman"/>
                <w:sz w:val="24"/>
              </w:rPr>
              <w:lastRenderedPageBreak/>
              <w:t>{0264;0010}</w:t>
            </w:r>
          </w:p>
        </w:tc>
        <w:tc>
          <w:tcPr>
            <w:tcW w:w="7566" w:type="dxa"/>
            <w:tcBorders>
              <w:bottom w:val="single" w:sz="4" w:space="0" w:color="auto"/>
            </w:tcBorders>
            <w:vAlign w:val="center"/>
          </w:tcPr>
          <w:p w14:paraId="7047590E" w14:textId="77777777" w:rsidR="00946138" w:rsidRPr="00B817D9" w:rsidRDefault="00946138"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Wyłączone ekspozycje publicznych instytucji kredytowych wspierających rozwój – kredyty preferencyjne udzielone przez podmiot utworzony przez rząd centralny, samorządy regionalne lub władze lokalne państwa członkowskiego poprzez pośredniczącą instytucję kredytową</w:t>
            </w:r>
          </w:p>
          <w:p w14:paraId="6754B207" w14:textId="1ADFDD89" w:rsidR="009D46F6" w:rsidRPr="00B817D9" w:rsidRDefault="00C36AC0"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77D97E64" w14:textId="70770390" w:rsidR="00E849C2" w:rsidRPr="00B817D9" w:rsidRDefault="00E849C2"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Ekspozycje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kre</w:t>
            </w:r>
            <w:r w:rsidRPr="00B817D9">
              <w:rPr>
                <w:rFonts w:ascii="Times New Roman" w:hAnsi="Times New Roman"/>
                <w:sz w:val="24"/>
              </w:rPr>
              <w:t>dytów preferencyjnych,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przeniesienia kredytów preferencyjnych, udzielanych przez podmiot utworzony przez rząd centralny, samorządy regionalne lub władze lokalne państwa członkowskiego poprzez pośredniczącą instytucję kredytową, które można wyłączyć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 Należy uwzględnić również ekspozycje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p w14:paraId="318709D6" w14:textId="1A976ECA" w:rsidR="00743C1E" w:rsidRPr="00B817D9" w:rsidRDefault="00743C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9D26A9" w:rsidRPr="00B817D9"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B817D9" w:rsidRDefault="009D26A9" w:rsidP="000B66BC">
            <w:pPr>
              <w:pStyle w:val="BodyText1"/>
              <w:spacing w:after="240"/>
              <w:rPr>
                <w:rFonts w:ascii="Times New Roman" w:hAnsi="Times New Roman"/>
                <w:bCs/>
                <w:sz w:val="24"/>
                <w:szCs w:val="24"/>
              </w:rPr>
            </w:pPr>
            <w:r w:rsidRPr="00B817D9">
              <w:rPr>
                <w:rFonts w:ascii="Times New Roman" w:hAnsi="Times New Roman"/>
                <w:sz w:val="24"/>
              </w:rPr>
              <w:t>{0910;0010}</w:t>
            </w:r>
          </w:p>
        </w:tc>
        <w:tc>
          <w:tcPr>
            <w:tcW w:w="7566" w:type="dxa"/>
            <w:tcBorders>
              <w:bottom w:val="single" w:sz="4" w:space="0" w:color="auto"/>
            </w:tcBorders>
            <w:vAlign w:val="center"/>
          </w:tcPr>
          <w:p w14:paraId="18FEA65B" w14:textId="2FAE034B" w:rsidR="009D26A9" w:rsidRPr="00B817D9" w:rsidRDefault="009D26A9"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Ekspozycje wobec udziałowców wyłączone zgodnie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art</w:t>
            </w:r>
            <w:r w:rsidRPr="00B817D9">
              <w:rPr>
                <w:rFonts w:ascii="Times New Roman" w:hAnsi="Times New Roman"/>
                <w:b/>
                <w:color w:val="auto"/>
                <w:sz w:val="24"/>
              </w:rPr>
              <w:t>.</w:t>
            </w:r>
            <w:r w:rsidR="00B817D9" w:rsidRPr="00B817D9">
              <w:rPr>
                <w:rFonts w:ascii="Times New Roman" w:hAnsi="Times New Roman"/>
                <w:b/>
                <w:color w:val="auto"/>
                <w:sz w:val="24"/>
              </w:rPr>
              <w:t> </w:t>
            </w:r>
            <w:r w:rsidRPr="00B817D9">
              <w:rPr>
                <w:rFonts w:ascii="Times New Roman" w:hAnsi="Times New Roman"/>
                <w:b/>
                <w:color w:val="auto"/>
                <w:sz w:val="24"/>
              </w:rPr>
              <w:t>429a ust.</w:t>
            </w:r>
            <w:r w:rsidR="00B817D9" w:rsidRPr="00B817D9">
              <w:rPr>
                <w:rFonts w:ascii="Times New Roman" w:hAnsi="Times New Roman"/>
                <w:b/>
                <w:color w:val="auto"/>
                <w:sz w:val="24"/>
              </w:rPr>
              <w:t> </w:t>
            </w:r>
            <w:r w:rsidRPr="00B817D9">
              <w:rPr>
                <w:rFonts w:ascii="Times New Roman" w:hAnsi="Times New Roman"/>
                <w:b/>
                <w:color w:val="auto"/>
                <w:sz w:val="24"/>
              </w:rPr>
              <w:t>1 lit. da) CRR)</w:t>
            </w:r>
          </w:p>
          <w:p w14:paraId="55A02ADA" w14:textId="119B4C83" w:rsidR="009D26A9" w:rsidRPr="00B817D9" w:rsidRDefault="009D26A9"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 da) rozporządzenia (UE) nr</w:t>
            </w:r>
            <w:r w:rsidR="00B817D9" w:rsidRPr="00B817D9">
              <w:rPr>
                <w:rFonts w:ascii="Times New Roman" w:hAnsi="Times New Roman"/>
                <w:sz w:val="24"/>
              </w:rPr>
              <w:t> </w:t>
            </w:r>
            <w:r w:rsidRPr="00B817D9">
              <w:rPr>
                <w:rFonts w:ascii="Times New Roman" w:hAnsi="Times New Roman"/>
                <w:sz w:val="24"/>
              </w:rPr>
              <w:t>575/2013</w:t>
            </w:r>
          </w:p>
          <w:p w14:paraId="0CBC407D" w14:textId="3A21BF4B" w:rsidR="00F62C28" w:rsidRPr="00B817D9" w:rsidRDefault="001E5373" w:rsidP="000B66BC">
            <w:pPr>
              <w:pStyle w:val="BodyText1"/>
              <w:spacing w:after="240" w:line="240" w:lineRule="auto"/>
              <w:rPr>
                <w:rFonts w:ascii="Times New Roman" w:hAnsi="Times New Roman"/>
                <w:bCs/>
                <w:sz w:val="24"/>
                <w:szCs w:val="24"/>
              </w:rPr>
            </w:pPr>
            <w:r w:rsidRPr="00B817D9">
              <w:rPr>
                <w:rFonts w:ascii="Times New Roman" w:hAnsi="Times New Roman"/>
                <w:sz w:val="24"/>
              </w:rPr>
              <w:t>Ekspozycje instytucji wobec udziałowców będących instytucjami kredytowymi, pod warunkiem że są one zabezpieczone i że spełnione zostały wszystkie warunki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lit</w:t>
            </w:r>
            <w:r w:rsidRPr="00B817D9">
              <w:rPr>
                <w:rFonts w:ascii="Times New Roman" w:hAnsi="Times New Roman"/>
                <w:sz w:val="24"/>
              </w:rPr>
              <w:t xml:space="preserve">. da). </w:t>
            </w:r>
          </w:p>
          <w:p w14:paraId="798B3B54" w14:textId="3330ABCD" w:rsidR="00280AF8" w:rsidRPr="00B817D9" w:rsidRDefault="00280AF8" w:rsidP="000B66BC">
            <w:pPr>
              <w:pStyle w:val="BodyText1"/>
              <w:spacing w:after="240" w:line="240" w:lineRule="auto"/>
              <w:rPr>
                <w:rFonts w:ascii="Times New Roman" w:hAnsi="Times New Roman"/>
                <w:b/>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CB48CC" w:rsidRPr="00B817D9"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B817D9" w:rsidRDefault="00946138" w:rsidP="000B66BC">
            <w:pPr>
              <w:pStyle w:val="BodyText1"/>
              <w:spacing w:after="240"/>
              <w:rPr>
                <w:rFonts w:ascii="Times New Roman" w:hAnsi="Times New Roman"/>
                <w:bCs/>
                <w:sz w:val="24"/>
                <w:szCs w:val="24"/>
                <w:highlight w:val="yellow"/>
              </w:rPr>
            </w:pPr>
            <w:r w:rsidRPr="00B817D9">
              <w:rPr>
                <w:rFonts w:ascii="Times New Roman" w:hAnsi="Times New Roman"/>
                <w:sz w:val="24"/>
              </w:rPr>
              <w:t>{0265;0010}</w:t>
            </w:r>
          </w:p>
        </w:tc>
        <w:tc>
          <w:tcPr>
            <w:tcW w:w="7566" w:type="dxa"/>
            <w:tcBorders>
              <w:bottom w:val="single" w:sz="4" w:space="0" w:color="auto"/>
            </w:tcBorders>
            <w:vAlign w:val="center"/>
          </w:tcPr>
          <w:p w14:paraId="3A4A6AD1" w14:textId="66642F95" w:rsidR="00946138" w:rsidRPr="00B817D9" w:rsidRDefault="00946138"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Wyłączone ekspozycje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ułu przeniesienia kredytu preferencyjnego przez niepubliczne instytucje (lub jednostki) kredytowe wspierające rozwój – kredyty preferencyjne udzielone przez publiczną instytucję kredytową wspierającą rozwój</w:t>
            </w:r>
          </w:p>
          <w:p w14:paraId="51F998E0" w14:textId="34DA6A1F" w:rsidR="009D46F6" w:rsidRPr="00B817D9" w:rsidRDefault="0079137A"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6B9968E8" w14:textId="644CE325" w:rsidR="00743C1E" w:rsidRPr="00B817D9" w:rsidRDefault="00E849C2" w:rsidP="000B66BC">
            <w:pPr>
              <w:pStyle w:val="BodyText1"/>
              <w:spacing w:after="240" w:line="240" w:lineRule="auto"/>
              <w:rPr>
                <w:rFonts w:ascii="Times New Roman" w:hAnsi="Times New Roman"/>
                <w:color w:val="auto"/>
                <w:sz w:val="24"/>
                <w:szCs w:val="24"/>
              </w:rPr>
            </w:pPr>
            <w:r w:rsidRPr="00B817D9">
              <w:rPr>
                <w:rFonts w:ascii="Times New Roman" w:hAnsi="Times New Roman"/>
                <w:color w:val="auto"/>
                <w:sz w:val="24"/>
              </w:rPr>
              <w:t>Części ekspozycji wynikające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prz</w:t>
            </w:r>
            <w:r w:rsidRPr="00B817D9">
              <w:rPr>
                <w:rFonts w:ascii="Times New Roman" w:hAnsi="Times New Roman"/>
                <w:color w:val="auto"/>
                <w:sz w:val="24"/>
              </w:rPr>
              <w:t xml:space="preserve">eniesienia kredytów preferencyjnych do innych instytucji kredytowych, jeżeli kredytów preferencyjnych udzieliła </w:t>
            </w:r>
            <w:r w:rsidRPr="00B817D9">
              <w:rPr>
                <w:rFonts w:ascii="Times New Roman" w:hAnsi="Times New Roman"/>
                <w:color w:val="auto"/>
                <w:sz w:val="24"/>
              </w:rPr>
              <w:lastRenderedPageBreak/>
              <w:t xml:space="preserve">publiczna kredytowa instytucja wspierająca rozwój. </w:t>
            </w:r>
            <w:r w:rsidRPr="00B817D9">
              <w:rPr>
                <w:rFonts w:ascii="Times New Roman" w:hAnsi="Times New Roman"/>
                <w:sz w:val="24"/>
              </w:rPr>
              <w:t>Należy uwzględnić również części ekspozycji jednostek instytucji, które nie są traktowane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p w14:paraId="1CF30E6B" w14:textId="05510529" w:rsidR="00743C1E" w:rsidRPr="00B817D9" w:rsidRDefault="00743C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CB48CC" w:rsidRPr="00B817D9"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B817D9" w:rsidRDefault="00946138" w:rsidP="000B66BC">
            <w:pPr>
              <w:pStyle w:val="BodyText1"/>
              <w:spacing w:after="240"/>
              <w:rPr>
                <w:rFonts w:ascii="Times New Roman" w:hAnsi="Times New Roman"/>
                <w:bCs/>
                <w:sz w:val="24"/>
                <w:szCs w:val="24"/>
                <w:highlight w:val="yellow"/>
              </w:rPr>
            </w:pPr>
            <w:r w:rsidRPr="00B817D9">
              <w:rPr>
                <w:rFonts w:ascii="Times New Roman" w:hAnsi="Times New Roman"/>
                <w:sz w:val="24"/>
              </w:rPr>
              <w:lastRenderedPageBreak/>
              <w:t>{0266;0010}</w:t>
            </w:r>
          </w:p>
        </w:tc>
        <w:tc>
          <w:tcPr>
            <w:tcW w:w="7566" w:type="dxa"/>
            <w:tcBorders>
              <w:bottom w:val="single" w:sz="4" w:space="0" w:color="auto"/>
            </w:tcBorders>
            <w:vAlign w:val="center"/>
          </w:tcPr>
          <w:p w14:paraId="4A900DCE" w14:textId="02E7587B" w:rsidR="00946138" w:rsidRPr="00B817D9" w:rsidRDefault="00946138"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Wyłączone ekspozycje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ułu przeniesienia kredytu preferencyjnego przez niepubliczne instytucje (lub jednostki) kredytowe wspierające rozwój – kredyty preferencyjne udzielone przez podmiot utworzony bezpośrednio przez rząd centralny, samorządy regionalne lub władze lokalne państwa członkowskiego</w:t>
            </w:r>
          </w:p>
          <w:p w14:paraId="003BD5E4" w14:textId="4E6538BC" w:rsidR="00743C1E" w:rsidRPr="00B817D9" w:rsidRDefault="00D03534"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128930FF" w14:textId="226F1CD0" w:rsidR="00415D69" w:rsidRPr="00B817D9" w:rsidRDefault="00415D69" w:rsidP="000B66BC">
            <w:pPr>
              <w:pStyle w:val="BodyText1"/>
              <w:spacing w:after="240" w:line="240" w:lineRule="auto"/>
              <w:rPr>
                <w:rFonts w:ascii="Times New Roman" w:hAnsi="Times New Roman"/>
                <w:color w:val="auto"/>
                <w:sz w:val="24"/>
                <w:szCs w:val="24"/>
              </w:rPr>
            </w:pPr>
            <w:r w:rsidRPr="00B817D9">
              <w:rPr>
                <w:rFonts w:ascii="Times New Roman" w:hAnsi="Times New Roman"/>
                <w:color w:val="auto"/>
                <w:sz w:val="24"/>
              </w:rPr>
              <w:t>Części ekspozycji wynikające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prz</w:t>
            </w:r>
            <w:r w:rsidRPr="00B817D9">
              <w:rPr>
                <w:rFonts w:ascii="Times New Roman" w:hAnsi="Times New Roman"/>
                <w:color w:val="auto"/>
                <w:sz w:val="24"/>
              </w:rPr>
              <w:t xml:space="preserve">eniesienia kredytów preferencyjnych do innych instytucji kredytowych, jeżeli kredytów preferencyjnych udzielił podmiot bezpośrednio utworzony przez rząd centralny, samorządy regionalne lub władze lokalne państwa członkowskiego. </w:t>
            </w:r>
            <w:r w:rsidRPr="00B817D9">
              <w:rPr>
                <w:rFonts w:ascii="Times New Roman" w:hAnsi="Times New Roman"/>
                <w:sz w:val="24"/>
              </w:rPr>
              <w:t>Należy uwzględnić również części ekspozycji jednostek instytucji, które nie są traktowane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p w14:paraId="4DD1C09D" w14:textId="12877033" w:rsidR="00743C1E" w:rsidRPr="00B817D9" w:rsidRDefault="00743C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CB48CC" w:rsidRPr="00B817D9"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B817D9" w:rsidRDefault="00946138" w:rsidP="000B66BC">
            <w:pPr>
              <w:pStyle w:val="BodyText1"/>
              <w:spacing w:after="240"/>
              <w:rPr>
                <w:rFonts w:ascii="Times New Roman" w:hAnsi="Times New Roman"/>
                <w:bCs/>
                <w:sz w:val="24"/>
                <w:szCs w:val="24"/>
                <w:highlight w:val="yellow"/>
              </w:rPr>
            </w:pPr>
            <w:r w:rsidRPr="00B817D9">
              <w:rPr>
                <w:rFonts w:ascii="Times New Roman" w:hAnsi="Times New Roman"/>
                <w:sz w:val="24"/>
              </w:rPr>
              <w:t>{0267;0010}</w:t>
            </w:r>
          </w:p>
        </w:tc>
        <w:tc>
          <w:tcPr>
            <w:tcW w:w="7566" w:type="dxa"/>
            <w:tcBorders>
              <w:bottom w:val="single" w:sz="4" w:space="0" w:color="auto"/>
            </w:tcBorders>
            <w:vAlign w:val="center"/>
          </w:tcPr>
          <w:p w14:paraId="0D809E6C" w14:textId="21574E5D" w:rsidR="00946138" w:rsidRPr="00B817D9" w:rsidRDefault="00946138"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 Wyłączone ekspozycje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ułu przeniesienia kredytu preferencyjnego przez niepubliczne instytucje (lub jednostki) kredytowe wspierające rozwój – kredyty preferencyjne udzielone przez podmiot utworzony przez rząd centralny, samorządy regionalne lub władze lokalne państwa członkowskiego poprzez pośredniczącą instytucję kredytową</w:t>
            </w:r>
          </w:p>
          <w:p w14:paraId="30EAE7BC" w14:textId="7AB63867" w:rsidR="009D46F6" w:rsidRPr="00B817D9" w:rsidRDefault="00D03534"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3DE31CDF" w14:textId="3DE2842B" w:rsidR="00743C1E" w:rsidRPr="00B817D9" w:rsidRDefault="00415D69" w:rsidP="000B66BC">
            <w:pPr>
              <w:pStyle w:val="BodyText1"/>
              <w:spacing w:after="240" w:line="240" w:lineRule="auto"/>
              <w:rPr>
                <w:rFonts w:ascii="Times New Roman" w:hAnsi="Times New Roman"/>
                <w:color w:val="auto"/>
                <w:sz w:val="24"/>
                <w:szCs w:val="24"/>
              </w:rPr>
            </w:pPr>
            <w:r w:rsidRPr="00B817D9">
              <w:rPr>
                <w:rFonts w:ascii="Times New Roman" w:hAnsi="Times New Roman"/>
                <w:color w:val="auto"/>
                <w:sz w:val="24"/>
              </w:rPr>
              <w:t>Części ekspozycji wynikające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prz</w:t>
            </w:r>
            <w:r w:rsidRPr="00B817D9">
              <w:rPr>
                <w:rFonts w:ascii="Times New Roman" w:hAnsi="Times New Roman"/>
                <w:color w:val="auto"/>
                <w:sz w:val="24"/>
              </w:rPr>
              <w:t xml:space="preserve">eniesienia kredytów preferencyjnych do innych instytucji kredytowych, jeżeli kredytów preferencyjnych udzielił podmiot utworzony przez rząd centralny, samorządy regionalne lub władze lokalne państwa członkowskiego poprzez pośredniczącą instytucję kredytową. </w:t>
            </w:r>
            <w:r w:rsidRPr="00B817D9">
              <w:rPr>
                <w:rFonts w:ascii="Times New Roman" w:hAnsi="Times New Roman"/>
                <w:sz w:val="24"/>
              </w:rPr>
              <w:t>Należy uwzględnić również części ekspozycji jednostek instytucji, które nie są traktowane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p w14:paraId="53C99EBF" w14:textId="3D2C7B34" w:rsidR="00743C1E" w:rsidRPr="00B817D9" w:rsidRDefault="00743C1E"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1F5E87" w:rsidRPr="00B817D9" w14:paraId="61EC7F94" w14:textId="77777777" w:rsidTr="008979D2">
        <w:trPr>
          <w:trHeight w:val="304"/>
        </w:trPr>
        <w:tc>
          <w:tcPr>
            <w:tcW w:w="1555" w:type="dxa"/>
            <w:gridSpan w:val="2"/>
            <w:tcBorders>
              <w:bottom w:val="single" w:sz="4" w:space="0" w:color="auto"/>
            </w:tcBorders>
          </w:tcPr>
          <w:p w14:paraId="04D68E82" w14:textId="38E814D6" w:rsidR="001F5E87" w:rsidRPr="00B817D9" w:rsidRDefault="00A81E17" w:rsidP="000B66BC">
            <w:pPr>
              <w:pStyle w:val="BodyText1"/>
              <w:spacing w:after="240"/>
              <w:rPr>
                <w:rFonts w:ascii="Times New Roman" w:hAnsi="Times New Roman"/>
                <w:bCs/>
                <w:sz w:val="24"/>
                <w:szCs w:val="24"/>
              </w:rPr>
            </w:pPr>
            <w:r w:rsidRPr="00B817D9">
              <w:rPr>
                <w:rFonts w:ascii="Times New Roman" w:hAnsi="Times New Roman"/>
                <w:sz w:val="24"/>
              </w:rPr>
              <w:t>{0268;0010}</w:t>
            </w:r>
          </w:p>
        </w:tc>
        <w:tc>
          <w:tcPr>
            <w:tcW w:w="7566" w:type="dxa"/>
            <w:tcBorders>
              <w:bottom w:val="single" w:sz="4" w:space="0" w:color="auto"/>
            </w:tcBorders>
          </w:tcPr>
          <w:p w14:paraId="41E224EF" w14:textId="342D4938" w:rsidR="001F5E87" w:rsidRPr="00B817D9" w:rsidRDefault="00D01FB9"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 Ekspozycje odliczane zgodnie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 429a ust. 1 lit. q) CRR</w:t>
            </w:r>
          </w:p>
          <w:p w14:paraId="435D6AA0" w14:textId="163B8399" w:rsidR="00515841" w:rsidRPr="00B817D9" w:rsidRDefault="00515841" w:rsidP="000B66BC">
            <w:pPr>
              <w:pStyle w:val="BodyText1"/>
              <w:spacing w:after="240" w:line="240" w:lineRule="auto"/>
              <w:rPr>
                <w:rFonts w:ascii="Times New Roman" w:hAnsi="Times New Roman"/>
                <w:sz w:val="24"/>
                <w:szCs w:val="24"/>
              </w:rPr>
            </w:pPr>
            <w:r w:rsidRPr="00B817D9">
              <w:rPr>
                <w:rFonts w:ascii="Times New Roman" w:hAnsi="Times New Roman"/>
                <w:sz w:val="24"/>
              </w:rPr>
              <w:lastRenderedPageBreak/>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 xml:space="preserve">q) </w:t>
            </w:r>
          </w:p>
          <w:p w14:paraId="692A1C06" w14:textId="4BCC679A" w:rsidR="007264E7" w:rsidRPr="00B817D9" w:rsidRDefault="00B145BB"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Ekspozycje podlegające traktowaniu określonemu</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72e ust.</w:t>
            </w:r>
            <w:r w:rsidR="00B817D9" w:rsidRPr="00B817D9">
              <w:rPr>
                <w:rFonts w:ascii="Times New Roman" w:hAnsi="Times New Roman"/>
                <w:sz w:val="24"/>
              </w:rPr>
              <w:t> </w:t>
            </w:r>
            <w:r w:rsidRPr="00B817D9">
              <w:rPr>
                <w:rFonts w:ascii="Times New Roman" w:hAnsi="Times New Roman"/>
                <w:sz w:val="24"/>
              </w:rPr>
              <w:t>5 akapit pierwszy rozporządzenia (UE) nr</w:t>
            </w:r>
            <w:r w:rsidR="00B817D9" w:rsidRPr="00B817D9">
              <w:rPr>
                <w:rFonts w:ascii="Times New Roman" w:hAnsi="Times New Roman"/>
                <w:sz w:val="24"/>
              </w:rPr>
              <w:t> </w:t>
            </w:r>
            <w:r w:rsidRPr="00B817D9">
              <w:rPr>
                <w:rFonts w:ascii="Times New Roman" w:hAnsi="Times New Roman"/>
                <w:sz w:val="24"/>
              </w:rPr>
              <w:t>575/2013.</w:t>
            </w:r>
          </w:p>
          <w:p w14:paraId="3625C467" w14:textId="57296E6B" w:rsidR="00227BD1" w:rsidRPr="00B817D9" w:rsidRDefault="00227BD1" w:rsidP="000B66BC">
            <w:pPr>
              <w:pStyle w:val="BodyText1"/>
              <w:spacing w:after="240" w:line="240" w:lineRule="auto"/>
              <w:rPr>
                <w:rFonts w:ascii="Times New Roman" w:hAnsi="Times New Roman"/>
                <w:b/>
                <w:bCs/>
                <w:sz w:val="24"/>
                <w:szCs w:val="24"/>
              </w:rPr>
            </w:pPr>
            <w:r w:rsidRPr="00B817D9">
              <w:rPr>
                <w:rFonts w:ascii="Times New Roman" w:hAnsi="Times New Roman"/>
                <w:sz w:val="24"/>
              </w:rPr>
              <w:t>Zgłoszoną kwotę należy także uwzględnić</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odp</w:t>
            </w:r>
            <w:r w:rsidRPr="00B817D9">
              <w:rPr>
                <w:rFonts w:ascii="Times New Roman" w:hAnsi="Times New Roman"/>
                <w:sz w:val="24"/>
              </w:rPr>
              <w:t>owiednich komórkach powyżej, jak gdyby nie miało zastosowania żadne wyłączenie.</w:t>
            </w:r>
          </w:p>
        </w:tc>
      </w:tr>
      <w:tr w:rsidR="008979D2" w:rsidRPr="00B817D9"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B817D9" w:rsidRDefault="008979D2" w:rsidP="008B2DDF">
            <w:pPr>
              <w:pStyle w:val="BodyText1"/>
              <w:spacing w:after="240"/>
              <w:rPr>
                <w:rFonts w:ascii="Times New Roman" w:hAnsi="Times New Roman"/>
                <w:bCs/>
                <w:sz w:val="24"/>
                <w:szCs w:val="24"/>
              </w:rPr>
            </w:pPr>
            <w:r w:rsidRPr="00B817D9">
              <w:rPr>
                <w:rFonts w:ascii="Times New Roman" w:hAnsi="Times New Roman"/>
                <w:sz w:val="24"/>
              </w:rPr>
              <w:lastRenderedPageBreak/>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45E35DDC" w:rsidR="008979D2" w:rsidRPr="00B817D9" w:rsidRDefault="008979D2" w:rsidP="008B2DDF">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Dodatkowa kwota ekspozycji wskaźnika dźwigni zgodnie</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art</w:t>
            </w:r>
            <w:r w:rsidRPr="00B817D9">
              <w:rPr>
                <w:rFonts w:ascii="Times New Roman" w:hAnsi="Times New Roman"/>
                <w:b/>
                <w:color w:val="auto"/>
                <w:sz w:val="24"/>
              </w:rPr>
              <w:t>.</w:t>
            </w:r>
            <w:r w:rsidR="00B817D9" w:rsidRPr="00B817D9">
              <w:rPr>
                <w:rFonts w:ascii="Times New Roman" w:hAnsi="Times New Roman"/>
                <w:b/>
                <w:color w:val="auto"/>
                <w:sz w:val="24"/>
              </w:rPr>
              <w:t> </w:t>
            </w:r>
            <w:r w:rsidRPr="00B817D9">
              <w:rPr>
                <w:rFonts w:ascii="Times New Roman" w:hAnsi="Times New Roman"/>
                <w:b/>
                <w:color w:val="auto"/>
                <w:sz w:val="24"/>
              </w:rPr>
              <w:t>3 CRR</w:t>
            </w:r>
          </w:p>
          <w:p w14:paraId="6CB5E131" w14:textId="5703A476" w:rsidR="008979D2" w:rsidRPr="00B817D9" w:rsidRDefault="008979D2" w:rsidP="008B2DDF">
            <w:pPr>
              <w:pStyle w:val="BodyText1"/>
              <w:spacing w:after="240" w:line="240" w:lineRule="auto"/>
              <w:rPr>
                <w:rFonts w:ascii="Times New Roman" w:hAnsi="Times New Roman"/>
                <w:color w:val="auto"/>
                <w:sz w:val="24"/>
                <w:szCs w:val="24"/>
              </w:rPr>
            </w:pPr>
            <w:r w:rsidRPr="00B817D9">
              <w:rPr>
                <w:rFonts w:ascii="Times New Roman" w:hAnsi="Times New Roman"/>
                <w:color w:val="auto"/>
                <w:sz w:val="24"/>
              </w:rPr>
              <w:t>Art. 3 rozporządzenia (UE) nr</w:t>
            </w:r>
            <w:r w:rsidR="00B817D9" w:rsidRPr="00B817D9">
              <w:rPr>
                <w:rFonts w:ascii="Times New Roman" w:hAnsi="Times New Roman"/>
                <w:color w:val="auto"/>
                <w:sz w:val="24"/>
              </w:rPr>
              <w:t> </w:t>
            </w:r>
            <w:r w:rsidRPr="00B817D9">
              <w:rPr>
                <w:rFonts w:ascii="Times New Roman" w:hAnsi="Times New Roman"/>
                <w:color w:val="auto"/>
                <w:sz w:val="24"/>
              </w:rPr>
              <w:t>575/2013</w:t>
            </w:r>
          </w:p>
          <w:p w14:paraId="61E0A840" w14:textId="4E58CC03" w:rsidR="008979D2" w:rsidRPr="00B817D9" w:rsidRDefault="008979D2" w:rsidP="008B2DDF">
            <w:pPr>
              <w:pStyle w:val="BodyText1"/>
              <w:spacing w:after="240" w:line="240" w:lineRule="auto"/>
              <w:rPr>
                <w:rFonts w:ascii="Times New Roman" w:hAnsi="Times New Roman"/>
                <w:color w:val="auto"/>
                <w:sz w:val="24"/>
                <w:szCs w:val="24"/>
              </w:rPr>
            </w:pPr>
            <w:r w:rsidRPr="00B817D9">
              <w:rPr>
                <w:rFonts w:ascii="Times New Roman" w:hAnsi="Times New Roman"/>
                <w:color w:val="auto"/>
                <w:sz w:val="24"/>
              </w:rPr>
              <w:t>Zgłasza się dodatkową kwotę ekspozycji wskaźnika dźwigni. Obejmuje ona wyłącznie kwoty dodatkowe.</w:t>
            </w:r>
          </w:p>
        </w:tc>
      </w:tr>
      <w:tr w:rsidR="00CB48CC" w:rsidRPr="00B817D9" w14:paraId="39D281E6" w14:textId="77777777" w:rsidTr="008979D2">
        <w:trPr>
          <w:trHeight w:val="304"/>
        </w:trPr>
        <w:tc>
          <w:tcPr>
            <w:tcW w:w="1555" w:type="dxa"/>
            <w:gridSpan w:val="2"/>
            <w:tcBorders>
              <w:bottom w:val="single" w:sz="4" w:space="0" w:color="auto"/>
            </w:tcBorders>
          </w:tcPr>
          <w:p w14:paraId="28E3E527" w14:textId="64B2DB2E"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{0270;0010}</w:t>
            </w:r>
          </w:p>
          <w:p w14:paraId="49DAE002"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6DA29AB8" w:rsidR="00CB48CC" w:rsidRPr="00B817D9" w:rsidRDefault="00CB48CC" w:rsidP="000B66BC">
            <w:pPr>
              <w:pStyle w:val="BodyText1"/>
              <w:spacing w:after="240" w:line="240" w:lineRule="auto"/>
              <w:rPr>
                <w:rFonts w:ascii="Times New Roman" w:hAnsi="Times New Roman"/>
                <w:sz w:val="24"/>
                <w:szCs w:val="24"/>
              </w:rPr>
            </w:pPr>
            <w:r w:rsidRPr="00B817D9">
              <w:rPr>
                <w:rFonts w:ascii="Times New Roman" w:hAnsi="Times New Roman"/>
                <w:b/>
                <w:sz w:val="24"/>
              </w:rPr>
              <w:t>(-) Odliczona kwota aktywów – kapitał Tier I –</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peł</w:t>
            </w:r>
            <w:r w:rsidRPr="00B817D9">
              <w:rPr>
                <w:rFonts w:ascii="Times New Roman" w:hAnsi="Times New Roman"/>
                <w:b/>
                <w:sz w:val="24"/>
              </w:rPr>
              <w:t>ni wprowadzona definicja</w:t>
            </w:r>
          </w:p>
          <w:p w14:paraId="7786B29A" w14:textId="7554902F" w:rsidR="00CB48CC" w:rsidRPr="00B817D9" w:rsidRDefault="00542529" w:rsidP="000B66BC">
            <w:pPr>
              <w:pStyle w:val="BodyText1"/>
              <w:spacing w:after="240" w:line="240" w:lineRule="auto"/>
              <w:rPr>
                <w:rFonts w:ascii="Times New Roman" w:hAnsi="Times New Roman"/>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b)</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675D8B7D" w14:textId="7777777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Obejmuje wszystkie korekty dotyczące wartości aktywów, które są wymagane na mocy następujących artykułów:</w:t>
            </w:r>
          </w:p>
          <w:p w14:paraId="0ABD1D78" w14:textId="01866F17" w:rsidR="00CB48CC" w:rsidRPr="00B817D9" w:rsidRDefault="00CB48CC" w:rsidP="000B66BC">
            <w:pPr>
              <w:pStyle w:val="BodyText1"/>
              <w:spacing w:after="240" w:line="240" w:lineRule="auto"/>
              <w:ind w:left="72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art.</w:t>
            </w:r>
            <w:r w:rsidR="00B817D9" w:rsidRPr="00B817D9">
              <w:rPr>
                <w:rFonts w:ascii="Times New Roman" w:hAnsi="Times New Roman"/>
                <w:sz w:val="24"/>
              </w:rPr>
              <w:t> </w:t>
            </w:r>
            <w:r w:rsidRPr="00B817D9">
              <w:rPr>
                <w:rFonts w:ascii="Times New Roman" w:hAnsi="Times New Roman"/>
                <w:sz w:val="24"/>
              </w:rPr>
              <w:t>32–35 rozporządzenia (UE) nr</w:t>
            </w:r>
            <w:r w:rsidR="00B817D9" w:rsidRPr="00B817D9">
              <w:rPr>
                <w:rFonts w:ascii="Times New Roman" w:hAnsi="Times New Roman"/>
                <w:sz w:val="24"/>
              </w:rPr>
              <w:t> </w:t>
            </w:r>
            <w:r w:rsidRPr="00B817D9">
              <w:rPr>
                <w:rFonts w:ascii="Times New Roman" w:hAnsi="Times New Roman"/>
                <w:sz w:val="24"/>
              </w:rPr>
              <w:t xml:space="preserve">575/2013, lub </w:t>
            </w:r>
          </w:p>
          <w:p w14:paraId="14203D05" w14:textId="774BF631" w:rsidR="00CB48CC" w:rsidRPr="00B817D9" w:rsidRDefault="00CB48CC" w:rsidP="000B66BC">
            <w:pPr>
              <w:pStyle w:val="BodyText1"/>
              <w:spacing w:after="240" w:line="240" w:lineRule="auto"/>
              <w:ind w:left="72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art.</w:t>
            </w:r>
            <w:r w:rsidR="00B817D9" w:rsidRPr="00B817D9">
              <w:rPr>
                <w:rFonts w:ascii="Times New Roman" w:hAnsi="Times New Roman"/>
                <w:sz w:val="24"/>
              </w:rPr>
              <w:t> </w:t>
            </w:r>
            <w:r w:rsidRPr="00B817D9">
              <w:rPr>
                <w:rFonts w:ascii="Times New Roman" w:hAnsi="Times New Roman"/>
                <w:sz w:val="24"/>
              </w:rPr>
              <w:t>36–47 rozporządzenia (UE) nr</w:t>
            </w:r>
            <w:r w:rsidR="00B817D9" w:rsidRPr="00B817D9">
              <w:rPr>
                <w:rFonts w:ascii="Times New Roman" w:hAnsi="Times New Roman"/>
                <w:sz w:val="24"/>
              </w:rPr>
              <w:t> </w:t>
            </w:r>
            <w:r w:rsidRPr="00B817D9">
              <w:rPr>
                <w:rFonts w:ascii="Times New Roman" w:hAnsi="Times New Roman"/>
                <w:sz w:val="24"/>
              </w:rPr>
              <w:t>575/2013, lub</w:t>
            </w:r>
          </w:p>
          <w:p w14:paraId="33D193AD" w14:textId="0A77F801" w:rsidR="00CB48CC" w:rsidRPr="00B817D9" w:rsidRDefault="00CB48CC" w:rsidP="000B66BC">
            <w:pPr>
              <w:pStyle w:val="BodyText1"/>
              <w:spacing w:after="240" w:line="240" w:lineRule="auto"/>
              <w:ind w:left="72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art.</w:t>
            </w:r>
            <w:r w:rsidR="00B817D9" w:rsidRPr="00B817D9">
              <w:rPr>
                <w:rFonts w:ascii="Times New Roman" w:hAnsi="Times New Roman"/>
                <w:sz w:val="24"/>
              </w:rPr>
              <w:t> </w:t>
            </w:r>
            <w:r w:rsidRPr="00B817D9">
              <w:rPr>
                <w:rFonts w:ascii="Times New Roman" w:hAnsi="Times New Roman"/>
                <w:sz w:val="24"/>
              </w:rPr>
              <w:t>56–60 rozporządzenia (UE) nr</w:t>
            </w:r>
            <w:r w:rsidR="00B817D9" w:rsidRPr="00B817D9">
              <w:rPr>
                <w:rFonts w:ascii="Times New Roman" w:hAnsi="Times New Roman"/>
                <w:sz w:val="24"/>
              </w:rPr>
              <w:t> </w:t>
            </w:r>
            <w:r w:rsidRPr="00B817D9">
              <w:rPr>
                <w:rFonts w:ascii="Times New Roman" w:hAnsi="Times New Roman"/>
                <w:sz w:val="24"/>
              </w:rPr>
              <w:t>575/2013</w:t>
            </w:r>
          </w:p>
          <w:p w14:paraId="0A1B29CB" w14:textId="7777777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stosownie do przypadku.</w:t>
            </w:r>
          </w:p>
          <w:p w14:paraId="75E8D9BE" w14:textId="561C7B9E"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uwzględniają wyłączenia, opcje alternatywne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ods</w:t>
            </w:r>
            <w:r w:rsidRPr="00B817D9">
              <w:rPr>
                <w:rFonts w:ascii="Times New Roman" w:hAnsi="Times New Roman"/>
                <w:sz w:val="24"/>
              </w:rPr>
              <w:t>tępstwa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takich odliczeń,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48, 49</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7</w:t>
            </w:r>
            <w:r w:rsidRPr="00B817D9">
              <w:rPr>
                <w:rFonts w:ascii="Times New Roman" w:hAnsi="Times New Roman"/>
                <w:sz w:val="24"/>
              </w:rPr>
              <w:t>9 rozporządzenia (UE) nr</w:t>
            </w:r>
            <w:r w:rsidR="00B817D9" w:rsidRPr="00B817D9">
              <w:rPr>
                <w:rFonts w:ascii="Times New Roman" w:hAnsi="Times New Roman"/>
                <w:sz w:val="24"/>
              </w:rPr>
              <w:t> </w:t>
            </w:r>
            <w:r w:rsidRPr="00B817D9">
              <w:rPr>
                <w:rFonts w:ascii="Times New Roman" w:hAnsi="Times New Roman"/>
                <w:sz w:val="24"/>
              </w:rPr>
              <w:t>575/2013, bez uwzględniania odstępstwa określonego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ści dziesiątej tytuł I rozdział 1, 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4</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W</w:t>
            </w:r>
            <w:r w:rsidR="00B817D9">
              <w:rPr>
                <w:rFonts w:ascii="Times New Roman" w:hAnsi="Times New Roman"/>
                <w:sz w:val="24"/>
              </w:rPr>
              <w:t> </w:t>
            </w:r>
            <w:r w:rsidR="00B817D9" w:rsidRPr="00B817D9">
              <w:rPr>
                <w:rFonts w:ascii="Times New Roman" w:hAnsi="Times New Roman"/>
                <w:sz w:val="24"/>
              </w:rPr>
              <w:t>cel</w:t>
            </w:r>
            <w:r w:rsidRPr="00B817D9">
              <w:rPr>
                <w:rFonts w:ascii="Times New Roman" w:hAnsi="Times New Roman"/>
                <w:sz w:val="24"/>
              </w:rPr>
              <w:t>u uniknięcia podwójnego liczenia instytucje nie zgłaszają korekt już zastosowanych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rozporządzenia (UE) nr</w:t>
            </w:r>
            <w:r w:rsidR="00B817D9" w:rsidRPr="00B817D9">
              <w:rPr>
                <w:rFonts w:ascii="Times New Roman" w:hAnsi="Times New Roman"/>
                <w:sz w:val="24"/>
              </w:rPr>
              <w:t> </w:t>
            </w:r>
            <w:r w:rsidRPr="00B817D9">
              <w:rPr>
                <w:rFonts w:ascii="Times New Roman" w:hAnsi="Times New Roman"/>
                <w:sz w:val="24"/>
              </w:rPr>
              <w:t>575/2013 podczas obliczania wartości ekspozycji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órkach od {0010;0010} do {0269;0010} ani korekt, które nie stanowią odliczenia wartości określonego składnika aktywów.</w:t>
            </w:r>
          </w:p>
          <w:p w14:paraId="36ECE9CF" w14:textId="53FA3C81"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sz w:val="24"/>
              </w:rPr>
              <w:t>Ponieważ kwoty te zostały już odliczone od miary kapitału, zmniejszają one wartość ekspozycji wskaźnika dźwigni</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zgł</w:t>
            </w:r>
            <w:r w:rsidRPr="00B817D9">
              <w:rPr>
                <w:rFonts w:ascii="Times New Roman" w:hAnsi="Times New Roman"/>
                <w:sz w:val="24"/>
              </w:rPr>
              <w:t>asza się je jako wartość ujemną.</w:t>
            </w:r>
          </w:p>
        </w:tc>
      </w:tr>
      <w:tr w:rsidR="00CB48CC" w:rsidRPr="00B817D9" w14:paraId="70428859" w14:textId="77777777" w:rsidTr="008979D2">
        <w:trPr>
          <w:trHeight w:val="304"/>
        </w:trPr>
        <w:tc>
          <w:tcPr>
            <w:tcW w:w="1555" w:type="dxa"/>
            <w:gridSpan w:val="2"/>
            <w:tcBorders>
              <w:bottom w:val="single" w:sz="4" w:space="0" w:color="auto"/>
            </w:tcBorders>
          </w:tcPr>
          <w:p w14:paraId="5BCE2B05" w14:textId="02607C2D"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{0280;0010}</w:t>
            </w:r>
          </w:p>
          <w:p w14:paraId="0F555030"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B817D9" w:rsidRDefault="003164FD" w:rsidP="000B66BC">
            <w:pPr>
              <w:pStyle w:val="BodyText1"/>
              <w:spacing w:after="240" w:line="240" w:lineRule="auto"/>
              <w:rPr>
                <w:rFonts w:ascii="Times New Roman" w:hAnsi="Times New Roman"/>
                <w:bCs/>
                <w:sz w:val="24"/>
                <w:szCs w:val="24"/>
              </w:rPr>
            </w:pPr>
            <w:r w:rsidRPr="00B817D9">
              <w:rPr>
                <w:rFonts w:ascii="Times New Roman" w:hAnsi="Times New Roman"/>
                <w:b/>
                <w:sz w:val="24"/>
              </w:rPr>
              <w:t>(-) Odliczona kwota aktywów – kapitał Tier I – definicja przejściowa</w:t>
            </w:r>
          </w:p>
          <w:p w14:paraId="552CF68D" w14:textId="62F44EF7" w:rsidR="00CB48CC" w:rsidRPr="00B817D9" w:rsidRDefault="006F5F1F"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b)</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1C7AD929" w14:textId="03888D3C"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Obejmuje wszystkie korekty, które korygują wartość składnika aktywów</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re są wymagane na mocy następujących artykułów:</w:t>
            </w:r>
          </w:p>
          <w:p w14:paraId="2FE9C127" w14:textId="52AF248D" w:rsidR="00CB48CC" w:rsidRPr="00B817D9" w:rsidRDefault="00CB48CC" w:rsidP="000B66BC">
            <w:pPr>
              <w:pStyle w:val="BodyText1"/>
              <w:spacing w:after="240" w:line="240" w:lineRule="auto"/>
              <w:ind w:left="720" w:hanging="360"/>
              <w:rPr>
                <w:rFonts w:ascii="Times New Roman" w:hAnsi="Times New Roman"/>
                <w:bCs/>
                <w:sz w:val="24"/>
                <w:szCs w:val="24"/>
              </w:rPr>
            </w:pPr>
            <w:r w:rsidRPr="00B817D9">
              <w:rPr>
                <w:rFonts w:ascii="Times New Roman" w:hAnsi="Times New Roman"/>
                <w:sz w:val="24"/>
              </w:rPr>
              <w:lastRenderedPageBreak/>
              <w:t>–</w:t>
            </w:r>
            <w:r w:rsidRPr="00B817D9">
              <w:tab/>
            </w:r>
            <w:r w:rsidRPr="00B817D9">
              <w:rPr>
                <w:rFonts w:ascii="Times New Roman" w:hAnsi="Times New Roman"/>
                <w:sz w:val="24"/>
              </w:rPr>
              <w:t>art.</w:t>
            </w:r>
            <w:r w:rsidR="00B817D9" w:rsidRPr="00B817D9">
              <w:rPr>
                <w:rFonts w:ascii="Times New Roman" w:hAnsi="Times New Roman"/>
                <w:sz w:val="24"/>
              </w:rPr>
              <w:t> </w:t>
            </w:r>
            <w:r w:rsidRPr="00B817D9">
              <w:rPr>
                <w:rFonts w:ascii="Times New Roman" w:hAnsi="Times New Roman"/>
                <w:sz w:val="24"/>
              </w:rPr>
              <w:t>32–35 rozporządzenia (UE) nr</w:t>
            </w:r>
            <w:r w:rsidR="00B817D9" w:rsidRPr="00B817D9">
              <w:rPr>
                <w:rFonts w:ascii="Times New Roman" w:hAnsi="Times New Roman"/>
                <w:sz w:val="24"/>
              </w:rPr>
              <w:t> </w:t>
            </w:r>
            <w:r w:rsidRPr="00B817D9">
              <w:rPr>
                <w:rFonts w:ascii="Times New Roman" w:hAnsi="Times New Roman"/>
                <w:sz w:val="24"/>
              </w:rPr>
              <w:t xml:space="preserve">575/2013, lub </w:t>
            </w:r>
          </w:p>
          <w:p w14:paraId="35A3C50B" w14:textId="784D65AD" w:rsidR="00CB48CC" w:rsidRPr="00B817D9" w:rsidRDefault="00CB48CC" w:rsidP="000B66BC">
            <w:pPr>
              <w:pStyle w:val="BodyText1"/>
              <w:spacing w:after="240" w:line="240" w:lineRule="auto"/>
              <w:ind w:left="72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art.</w:t>
            </w:r>
            <w:r w:rsidR="00B817D9" w:rsidRPr="00B817D9">
              <w:rPr>
                <w:rFonts w:ascii="Times New Roman" w:hAnsi="Times New Roman"/>
                <w:sz w:val="24"/>
              </w:rPr>
              <w:t> </w:t>
            </w:r>
            <w:r w:rsidRPr="00B817D9">
              <w:rPr>
                <w:rFonts w:ascii="Times New Roman" w:hAnsi="Times New Roman"/>
                <w:sz w:val="24"/>
              </w:rPr>
              <w:t>36–47 rozporządzenia (UE) nr</w:t>
            </w:r>
            <w:r w:rsidR="00B817D9" w:rsidRPr="00B817D9">
              <w:rPr>
                <w:rFonts w:ascii="Times New Roman" w:hAnsi="Times New Roman"/>
                <w:sz w:val="24"/>
              </w:rPr>
              <w:t> </w:t>
            </w:r>
            <w:r w:rsidRPr="00B817D9">
              <w:rPr>
                <w:rFonts w:ascii="Times New Roman" w:hAnsi="Times New Roman"/>
                <w:sz w:val="24"/>
              </w:rPr>
              <w:t xml:space="preserve">575/2013, lub </w:t>
            </w:r>
          </w:p>
          <w:p w14:paraId="66CB0299" w14:textId="6311C309" w:rsidR="00CB48CC" w:rsidRPr="00B817D9" w:rsidRDefault="00CB48CC" w:rsidP="000B66BC">
            <w:pPr>
              <w:pStyle w:val="BodyText1"/>
              <w:spacing w:after="240" w:line="240" w:lineRule="auto"/>
              <w:ind w:left="72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art.</w:t>
            </w:r>
            <w:r w:rsidR="00B817D9" w:rsidRPr="00B817D9">
              <w:rPr>
                <w:rFonts w:ascii="Times New Roman" w:hAnsi="Times New Roman"/>
                <w:sz w:val="24"/>
              </w:rPr>
              <w:t> </w:t>
            </w:r>
            <w:r w:rsidRPr="00B817D9">
              <w:rPr>
                <w:rFonts w:ascii="Times New Roman" w:hAnsi="Times New Roman"/>
                <w:sz w:val="24"/>
              </w:rPr>
              <w:t>56–60 rozporządzenia (UE) nr</w:t>
            </w:r>
            <w:r w:rsidR="00B817D9" w:rsidRPr="00B817D9">
              <w:rPr>
                <w:rFonts w:ascii="Times New Roman" w:hAnsi="Times New Roman"/>
                <w:sz w:val="24"/>
              </w:rPr>
              <w:t> </w:t>
            </w:r>
            <w:r w:rsidRPr="00B817D9">
              <w:rPr>
                <w:rFonts w:ascii="Times New Roman" w:hAnsi="Times New Roman"/>
                <w:sz w:val="24"/>
              </w:rPr>
              <w:t>575/2013</w:t>
            </w:r>
          </w:p>
          <w:p w14:paraId="152F8BFD" w14:textId="77777777"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stosownie do przypadku.</w:t>
            </w:r>
          </w:p>
          <w:p w14:paraId="730A3940" w14:textId="225B5FA5" w:rsidR="00D9327B"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uwzględniają wyłączenia, opcje alternatywne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ods</w:t>
            </w:r>
            <w:r w:rsidRPr="00B817D9">
              <w:rPr>
                <w:rFonts w:ascii="Times New Roman" w:hAnsi="Times New Roman"/>
                <w:sz w:val="24"/>
              </w:rPr>
              <w:t>tępstwa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takich odliczeń,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48, 49</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7</w:t>
            </w:r>
            <w:r w:rsidRPr="00B817D9">
              <w:rPr>
                <w:rFonts w:ascii="Times New Roman" w:hAnsi="Times New Roman"/>
                <w:sz w:val="24"/>
              </w:rPr>
              <w:t>9 rozporządzenia (UE) nr</w:t>
            </w:r>
            <w:r w:rsidR="00B817D9" w:rsidRPr="00B817D9">
              <w:rPr>
                <w:rFonts w:ascii="Times New Roman" w:hAnsi="Times New Roman"/>
                <w:sz w:val="24"/>
              </w:rPr>
              <w:t> </w:t>
            </w:r>
            <w:r w:rsidRPr="00B817D9">
              <w:rPr>
                <w:rFonts w:ascii="Times New Roman" w:hAnsi="Times New Roman"/>
                <w:sz w:val="24"/>
              </w:rPr>
              <w:t>575/2013, oprócz uwzględniania odstępstw określonych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ści dziesiątej tytuł I rozdział 1, 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4</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W</w:t>
            </w:r>
            <w:r w:rsidR="00B817D9">
              <w:rPr>
                <w:rFonts w:ascii="Times New Roman" w:hAnsi="Times New Roman"/>
                <w:sz w:val="24"/>
              </w:rPr>
              <w:t> </w:t>
            </w:r>
            <w:r w:rsidR="00B817D9" w:rsidRPr="00B817D9">
              <w:rPr>
                <w:rFonts w:ascii="Times New Roman" w:hAnsi="Times New Roman"/>
                <w:sz w:val="24"/>
              </w:rPr>
              <w:t>cel</w:t>
            </w:r>
            <w:r w:rsidRPr="00B817D9">
              <w:rPr>
                <w:rFonts w:ascii="Times New Roman" w:hAnsi="Times New Roman"/>
                <w:sz w:val="24"/>
              </w:rPr>
              <w:t>u uniknięcia podwójnego liczenia instytucje nie zgłaszają korekt już zastosowanych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111 rozporządzenia (UE) nr</w:t>
            </w:r>
            <w:r w:rsidR="00B817D9" w:rsidRPr="00B817D9">
              <w:rPr>
                <w:rFonts w:ascii="Times New Roman" w:hAnsi="Times New Roman"/>
                <w:sz w:val="24"/>
              </w:rPr>
              <w:t> </w:t>
            </w:r>
            <w:r w:rsidRPr="00B817D9">
              <w:rPr>
                <w:rFonts w:ascii="Times New Roman" w:hAnsi="Times New Roman"/>
                <w:sz w:val="24"/>
              </w:rPr>
              <w:t>575/2013 podczas obliczania wartości ekspozycji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órkach od {0010;0010} do {0269;0010} ani korekt, które nie stanowią odliczenia wartości określonego składnika aktywów.</w:t>
            </w:r>
          </w:p>
          <w:p w14:paraId="33460AF9" w14:textId="362740C8"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Ponieważ kwoty te zostały już odliczone od miary kapitału, zmniejszają one wartość ekspozycji wskaźnika dźwigni</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zgł</w:t>
            </w:r>
            <w:r w:rsidRPr="00B817D9">
              <w:rPr>
                <w:rFonts w:ascii="Times New Roman" w:hAnsi="Times New Roman"/>
                <w:sz w:val="24"/>
              </w:rPr>
              <w:t>asza się je jako wartość ujemną.</w:t>
            </w:r>
          </w:p>
          <w:p w14:paraId="5A75B235" w14:textId="399DE8C6" w:rsidR="00CB48CC" w:rsidRPr="00B817D9" w:rsidRDefault="00CB48CC" w:rsidP="000B66BC">
            <w:pPr>
              <w:pStyle w:val="BodyText1"/>
              <w:spacing w:after="240" w:line="240" w:lineRule="auto"/>
              <w:rPr>
                <w:rFonts w:ascii="Times New Roman" w:hAnsi="Times New Roman"/>
                <w:b/>
                <w:bCs/>
                <w:sz w:val="24"/>
                <w:szCs w:val="24"/>
              </w:rPr>
            </w:pPr>
          </w:p>
        </w:tc>
      </w:tr>
      <w:tr w:rsidR="00CB48CC" w:rsidRPr="00B817D9" w14:paraId="2854FA96" w14:textId="77777777" w:rsidTr="008979D2">
        <w:trPr>
          <w:trHeight w:val="304"/>
        </w:trPr>
        <w:tc>
          <w:tcPr>
            <w:tcW w:w="1555" w:type="dxa"/>
            <w:gridSpan w:val="2"/>
            <w:tcBorders>
              <w:bottom w:val="single" w:sz="4" w:space="0" w:color="auto"/>
            </w:tcBorders>
          </w:tcPr>
          <w:p w14:paraId="4375AA27" w14:textId="5FEC7397"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lastRenderedPageBreak/>
              <w:t>{0290;0010}</w:t>
            </w:r>
          </w:p>
          <w:p w14:paraId="140D82B2"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50CC17A"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Suma miary ekspozycji wskaźnika dźwigni – przy zastosowaniu</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peł</w:t>
            </w:r>
            <w:r w:rsidRPr="00B817D9">
              <w:rPr>
                <w:rFonts w:ascii="Times New Roman" w:hAnsi="Times New Roman"/>
                <w:b/>
                <w:sz w:val="24"/>
              </w:rPr>
              <w:t>ni wprowadzonej definicji kapitału Tier I</w:t>
            </w:r>
          </w:p>
          <w:p w14:paraId="18A90C99" w14:textId="732D6127" w:rsidR="00CB48CC" w:rsidRPr="00B817D9" w:rsidRDefault="0026270F"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zgłaszają sumę wszystkich wierszy od</w:t>
            </w:r>
            <w:r w:rsidR="00B817D9" w:rsidRPr="00B817D9">
              <w:rPr>
                <w:rFonts w:ascii="Times New Roman" w:hAnsi="Times New Roman"/>
                <w:sz w:val="24"/>
              </w:rPr>
              <w:t> </w:t>
            </w:r>
            <w:r w:rsidRPr="00B817D9">
              <w:rPr>
                <w:rFonts w:ascii="Times New Roman" w:hAnsi="Times New Roman"/>
                <w:sz w:val="24"/>
              </w:rPr>
              <w:t>0010 do</w:t>
            </w:r>
            <w:r w:rsidR="00B817D9" w:rsidRPr="00B817D9">
              <w:rPr>
                <w:rFonts w:ascii="Times New Roman" w:hAnsi="Times New Roman"/>
                <w:sz w:val="24"/>
              </w:rPr>
              <w:t> </w:t>
            </w:r>
            <w:r w:rsidRPr="00B817D9">
              <w:rPr>
                <w:rFonts w:ascii="Times New Roman" w:hAnsi="Times New Roman"/>
                <w:sz w:val="24"/>
              </w:rPr>
              <w:t>0269</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rsza 0270.</w:t>
            </w:r>
          </w:p>
        </w:tc>
      </w:tr>
      <w:tr w:rsidR="00CB48CC" w:rsidRPr="00B817D9" w14:paraId="16865D6C" w14:textId="77777777" w:rsidTr="008979D2">
        <w:trPr>
          <w:trHeight w:val="304"/>
        </w:trPr>
        <w:tc>
          <w:tcPr>
            <w:tcW w:w="1555" w:type="dxa"/>
            <w:gridSpan w:val="2"/>
            <w:tcBorders>
              <w:bottom w:val="single" w:sz="4" w:space="0" w:color="auto"/>
            </w:tcBorders>
          </w:tcPr>
          <w:p w14:paraId="5F1E1E63" w14:textId="6C4A4D91"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{0300;0010}</w:t>
            </w:r>
          </w:p>
          <w:p w14:paraId="2180AA43" w14:textId="77777777" w:rsidR="00CB48CC" w:rsidRPr="00B817D9"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Suma miary ekspozycji wskaźnika dźwigni – przy zastosowaniu definicji przejściowej kapitału Tier I</w:t>
            </w:r>
          </w:p>
          <w:p w14:paraId="247E260C" w14:textId="163E4E2B"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zgłaszają sumę wszystkich wierszy od</w:t>
            </w:r>
            <w:r w:rsidR="00B817D9" w:rsidRPr="00B817D9">
              <w:rPr>
                <w:rFonts w:ascii="Times New Roman" w:hAnsi="Times New Roman"/>
                <w:sz w:val="24"/>
              </w:rPr>
              <w:t> </w:t>
            </w:r>
            <w:r w:rsidRPr="00B817D9">
              <w:rPr>
                <w:rFonts w:ascii="Times New Roman" w:hAnsi="Times New Roman"/>
                <w:sz w:val="24"/>
              </w:rPr>
              <w:t>0010 do</w:t>
            </w:r>
            <w:r w:rsidR="00B817D9" w:rsidRPr="00B817D9">
              <w:rPr>
                <w:rFonts w:ascii="Times New Roman" w:hAnsi="Times New Roman"/>
                <w:sz w:val="24"/>
              </w:rPr>
              <w:t> </w:t>
            </w:r>
            <w:r w:rsidRPr="00B817D9">
              <w:rPr>
                <w:rFonts w:ascii="Times New Roman" w:hAnsi="Times New Roman"/>
                <w:sz w:val="24"/>
              </w:rPr>
              <w:t>0269</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 xml:space="preserve">rsza 0280. </w:t>
            </w:r>
          </w:p>
        </w:tc>
      </w:tr>
      <w:tr w:rsidR="00CB48CC" w:rsidRPr="00B817D9" w14:paraId="25B9F129" w14:textId="77777777" w:rsidTr="008979D2">
        <w:trPr>
          <w:trHeight w:val="304"/>
        </w:trPr>
        <w:tc>
          <w:tcPr>
            <w:tcW w:w="1555" w:type="dxa"/>
            <w:gridSpan w:val="2"/>
            <w:shd w:val="pct25" w:color="auto" w:fill="auto"/>
          </w:tcPr>
          <w:p w14:paraId="069EB129" w14:textId="2B30ED13" w:rsidR="00CB48CC" w:rsidRPr="00B817D9" w:rsidRDefault="00CB48CC" w:rsidP="000B66BC">
            <w:pPr>
              <w:pStyle w:val="BodyText1"/>
              <w:spacing w:after="240"/>
              <w:rPr>
                <w:rFonts w:ascii="Times New Roman" w:hAnsi="Times New Roman"/>
                <w:b/>
                <w:bCs/>
                <w:sz w:val="24"/>
                <w:szCs w:val="24"/>
              </w:rPr>
            </w:pPr>
            <w:r w:rsidRPr="00B817D9">
              <w:rPr>
                <w:rFonts w:ascii="Times New Roman" w:hAnsi="Times New Roman"/>
                <w:b/>
                <w:sz w:val="24"/>
              </w:rPr>
              <w:t>Wiersz</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kol</w:t>
            </w:r>
            <w:r w:rsidRPr="00B817D9">
              <w:rPr>
                <w:rFonts w:ascii="Times New Roman" w:hAnsi="Times New Roman"/>
                <w:b/>
                <w:sz w:val="24"/>
              </w:rPr>
              <w:t>umna</w:t>
            </w:r>
          </w:p>
        </w:tc>
        <w:tc>
          <w:tcPr>
            <w:tcW w:w="7566" w:type="dxa"/>
            <w:shd w:val="pct25" w:color="auto" w:fill="auto"/>
          </w:tcPr>
          <w:p w14:paraId="10FF1AF5" w14:textId="77777777"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 xml:space="preserve">Kapitał </w:t>
            </w:r>
          </w:p>
        </w:tc>
      </w:tr>
      <w:tr w:rsidR="00CB48CC" w:rsidRPr="00B817D9" w14:paraId="448FE1D7" w14:textId="77777777" w:rsidTr="008979D2">
        <w:trPr>
          <w:trHeight w:val="304"/>
        </w:trPr>
        <w:tc>
          <w:tcPr>
            <w:tcW w:w="1555" w:type="dxa"/>
            <w:gridSpan w:val="2"/>
          </w:tcPr>
          <w:p w14:paraId="696588A9" w14:textId="3F9C3A82"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{0310;0010}</w:t>
            </w:r>
          </w:p>
          <w:p w14:paraId="7738A245" w14:textId="77777777" w:rsidR="00CB48CC" w:rsidRPr="00B817D9" w:rsidRDefault="00CB48CC" w:rsidP="000B66BC">
            <w:pPr>
              <w:pStyle w:val="BodyText1"/>
              <w:spacing w:after="240"/>
              <w:rPr>
                <w:rFonts w:ascii="Times New Roman" w:hAnsi="Times New Roman"/>
                <w:bCs/>
                <w:sz w:val="24"/>
                <w:szCs w:val="24"/>
              </w:rPr>
            </w:pPr>
          </w:p>
        </w:tc>
        <w:tc>
          <w:tcPr>
            <w:tcW w:w="7566" w:type="dxa"/>
          </w:tcPr>
          <w:p w14:paraId="2F0EFDF6" w14:textId="3FF72B14"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b/>
                <w:sz w:val="24"/>
              </w:rPr>
              <w:t>Kapitał Tier I –</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peł</w:t>
            </w:r>
            <w:r w:rsidRPr="00B817D9">
              <w:rPr>
                <w:rFonts w:ascii="Times New Roman" w:hAnsi="Times New Roman"/>
                <w:b/>
                <w:sz w:val="24"/>
              </w:rPr>
              <w:t>ni wprowadzona definicja</w:t>
            </w:r>
          </w:p>
          <w:p w14:paraId="6D31890D" w14:textId="63CD3A99"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 ust.</w:t>
            </w:r>
            <w:r w:rsidR="00B817D9" w:rsidRPr="00B817D9">
              <w:rPr>
                <w:rFonts w:ascii="Times New Roman" w:hAnsi="Times New Roman"/>
                <w:sz w:val="24"/>
              </w:rPr>
              <w:t> </w:t>
            </w:r>
            <w:r w:rsidRPr="00B817D9">
              <w:rPr>
                <w:rFonts w:ascii="Times New Roman" w:hAnsi="Times New Roman"/>
                <w:sz w:val="24"/>
              </w:rPr>
              <w:t>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49E3D5DA" w14:textId="0BBE0C45"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kwota kapitału Tier I obliczona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25 rozporządzenia (UE) nr</w:t>
            </w:r>
            <w:r w:rsidR="00B817D9" w:rsidRPr="00B817D9">
              <w:rPr>
                <w:rFonts w:ascii="Times New Roman" w:hAnsi="Times New Roman"/>
                <w:sz w:val="24"/>
              </w:rPr>
              <w:t> </w:t>
            </w:r>
            <w:r w:rsidRPr="00B817D9">
              <w:rPr>
                <w:rFonts w:ascii="Times New Roman" w:hAnsi="Times New Roman"/>
                <w:sz w:val="24"/>
              </w:rPr>
              <w:t>575/2013, bez uwzględniania odstępstwa określonego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ści dziesiątej tytuł I rozdział 1, 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4</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tc>
      </w:tr>
      <w:tr w:rsidR="00CB48CC" w:rsidRPr="00B817D9" w14:paraId="2B054486" w14:textId="77777777" w:rsidTr="008979D2">
        <w:trPr>
          <w:trHeight w:val="304"/>
        </w:trPr>
        <w:tc>
          <w:tcPr>
            <w:tcW w:w="1555" w:type="dxa"/>
            <w:gridSpan w:val="2"/>
          </w:tcPr>
          <w:p w14:paraId="5ED7C02F" w14:textId="7A8D781A"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{0320;0010}</w:t>
            </w:r>
          </w:p>
          <w:p w14:paraId="15F4A511" w14:textId="77777777" w:rsidR="00CB48CC" w:rsidRPr="00B817D9"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Kapitał Tier I – definicja przejściowa</w:t>
            </w:r>
          </w:p>
          <w:p w14:paraId="5041E493" w14:textId="11442388"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 ust.</w:t>
            </w:r>
            <w:r w:rsidR="00B817D9" w:rsidRPr="00B817D9">
              <w:rPr>
                <w:rFonts w:ascii="Times New Roman" w:hAnsi="Times New Roman"/>
                <w:sz w:val="24"/>
              </w:rPr>
              <w:t> </w:t>
            </w:r>
            <w:r w:rsidRPr="00B817D9">
              <w:rPr>
                <w:rFonts w:ascii="Times New Roman" w:hAnsi="Times New Roman"/>
                <w:sz w:val="24"/>
              </w:rPr>
              <w:t>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w:t>
            </w:r>
          </w:p>
          <w:p w14:paraId="3270C368" w14:textId="223C207F" w:rsidR="00CB48CC" w:rsidRPr="00B817D9" w:rsidRDefault="00CB48CC" w:rsidP="00B70EBF">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Jest to kwota kapitału Tier I obliczona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25 rozporządzenia (UE) nr</w:t>
            </w:r>
            <w:r w:rsidR="00B817D9" w:rsidRPr="00B817D9">
              <w:rPr>
                <w:rFonts w:ascii="Times New Roman" w:hAnsi="Times New Roman"/>
                <w:sz w:val="24"/>
              </w:rPr>
              <w:t> </w:t>
            </w:r>
            <w:r w:rsidRPr="00B817D9">
              <w:rPr>
                <w:rFonts w:ascii="Times New Roman" w:hAnsi="Times New Roman"/>
                <w:sz w:val="24"/>
              </w:rPr>
              <w:t>575/2013, po uwzględnieniu odstępstwa określonego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ści dziesiątej tytuł I rozdział 1, 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4</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tc>
      </w:tr>
      <w:tr w:rsidR="00CB48CC" w:rsidRPr="00B817D9" w14:paraId="30D5612D" w14:textId="77777777" w:rsidTr="008979D2">
        <w:trPr>
          <w:trHeight w:val="304"/>
        </w:trPr>
        <w:tc>
          <w:tcPr>
            <w:tcW w:w="1555" w:type="dxa"/>
            <w:gridSpan w:val="2"/>
            <w:shd w:val="clear" w:color="auto" w:fill="D9D9D9" w:themeFill="background1" w:themeFillShade="D9"/>
          </w:tcPr>
          <w:p w14:paraId="3E09CDC7" w14:textId="6C62DC46" w:rsidR="00CB48CC" w:rsidRPr="00B817D9" w:rsidRDefault="00CB48CC" w:rsidP="000B66BC">
            <w:pPr>
              <w:pStyle w:val="BodyText1"/>
              <w:spacing w:after="240"/>
              <w:rPr>
                <w:rFonts w:ascii="Times New Roman" w:hAnsi="Times New Roman"/>
                <w:b/>
                <w:bCs/>
                <w:sz w:val="24"/>
                <w:szCs w:val="24"/>
              </w:rPr>
            </w:pPr>
            <w:r w:rsidRPr="00B817D9">
              <w:rPr>
                <w:rFonts w:ascii="Times New Roman" w:hAnsi="Times New Roman"/>
                <w:b/>
                <w:sz w:val="24"/>
              </w:rPr>
              <w:lastRenderedPageBreak/>
              <w:t>Wiersz</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kol</w:t>
            </w:r>
            <w:r w:rsidRPr="00B817D9">
              <w:rPr>
                <w:rFonts w:ascii="Times New Roman" w:hAnsi="Times New Roman"/>
                <w:b/>
                <w:sz w:val="24"/>
              </w:rPr>
              <w:t>umna</w:t>
            </w:r>
          </w:p>
        </w:tc>
        <w:tc>
          <w:tcPr>
            <w:tcW w:w="7566" w:type="dxa"/>
            <w:shd w:val="clear" w:color="auto" w:fill="D9D9D9" w:themeFill="background1" w:themeFillShade="D9"/>
          </w:tcPr>
          <w:p w14:paraId="19280F08" w14:textId="77777777"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Wskaźnik dźwigni</w:t>
            </w:r>
          </w:p>
        </w:tc>
      </w:tr>
      <w:tr w:rsidR="00CB48CC" w:rsidRPr="00B817D9" w14:paraId="7E720607" w14:textId="77777777" w:rsidTr="008979D2">
        <w:trPr>
          <w:trHeight w:val="304"/>
        </w:trPr>
        <w:tc>
          <w:tcPr>
            <w:tcW w:w="1555" w:type="dxa"/>
            <w:gridSpan w:val="2"/>
          </w:tcPr>
          <w:p w14:paraId="04FDC8D4" w14:textId="563122E7"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{0330;0010}</w:t>
            </w:r>
          </w:p>
        </w:tc>
        <w:tc>
          <w:tcPr>
            <w:tcW w:w="7566" w:type="dxa"/>
          </w:tcPr>
          <w:p w14:paraId="170E1973" w14:textId="25589C25"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Wskaźnik dźwigni – przy zastosowaniu</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peł</w:t>
            </w:r>
            <w:r w:rsidRPr="00B817D9">
              <w:rPr>
                <w:rFonts w:ascii="Times New Roman" w:hAnsi="Times New Roman"/>
                <w:b/>
                <w:sz w:val="24"/>
              </w:rPr>
              <w:t>ni wprowadzonej definicji kapitału Tier I</w:t>
            </w:r>
          </w:p>
          <w:p w14:paraId="14103416" w14:textId="33B2B863"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499 ust.</w:t>
            </w:r>
            <w:r w:rsidR="00B817D9" w:rsidRPr="00B817D9">
              <w:rPr>
                <w:rFonts w:ascii="Times New Roman" w:hAnsi="Times New Roman"/>
                <w:sz w:val="24"/>
              </w:rPr>
              <w:t> </w:t>
            </w:r>
            <w:r w:rsidRPr="00B817D9">
              <w:rPr>
                <w:rFonts w:ascii="Times New Roman" w:hAnsi="Times New Roman"/>
                <w:sz w:val="24"/>
              </w:rPr>
              <w:t>1 rozporządzenia (UE) nr</w:t>
            </w:r>
            <w:r w:rsidR="00B817D9" w:rsidRPr="00B817D9">
              <w:rPr>
                <w:rFonts w:ascii="Times New Roman" w:hAnsi="Times New Roman"/>
                <w:sz w:val="24"/>
              </w:rPr>
              <w:t> </w:t>
            </w:r>
            <w:r w:rsidRPr="00B817D9">
              <w:rPr>
                <w:rFonts w:ascii="Times New Roman" w:hAnsi="Times New Roman"/>
                <w:sz w:val="24"/>
              </w:rPr>
              <w:t>575/2013</w:t>
            </w:r>
          </w:p>
          <w:p w14:paraId="13640073" w14:textId="709CD69A" w:rsidR="00CB48CC" w:rsidRPr="00B817D9" w:rsidRDefault="00CB48CC" w:rsidP="00B70EBF">
            <w:pPr>
              <w:pStyle w:val="BodyText1"/>
              <w:spacing w:after="240" w:line="240" w:lineRule="auto"/>
              <w:rPr>
                <w:rFonts w:ascii="Times New Roman" w:hAnsi="Times New Roman"/>
                <w:b/>
                <w:bCs/>
                <w:sz w:val="24"/>
                <w:szCs w:val="24"/>
              </w:rPr>
            </w:pPr>
            <w:r w:rsidRPr="00B817D9">
              <w:rPr>
                <w:rFonts w:ascii="Times New Roman" w:hAnsi="Times New Roman"/>
                <w:sz w:val="24"/>
              </w:rPr>
              <w:t>Jest to wskaźnik dźwigni obliczany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nin</w:t>
            </w:r>
            <w:r w:rsidRPr="00B817D9">
              <w:rPr>
                <w:rFonts w:ascii="Times New Roman" w:hAnsi="Times New Roman"/>
                <w:sz w:val="24"/>
              </w:rPr>
              <w:t>iejszym załącznikiem część II pkt</w:t>
            </w:r>
            <w:r w:rsidR="00B817D9" w:rsidRPr="00B817D9">
              <w:rPr>
                <w:rFonts w:ascii="Times New Roman" w:hAnsi="Times New Roman"/>
                <w:sz w:val="24"/>
              </w:rPr>
              <w:t> </w:t>
            </w:r>
            <w:r w:rsidRPr="00B817D9">
              <w:rPr>
                <w:rFonts w:ascii="Times New Roman" w:hAnsi="Times New Roman"/>
                <w:sz w:val="24"/>
              </w:rPr>
              <w:t>2.</w:t>
            </w:r>
          </w:p>
        </w:tc>
      </w:tr>
      <w:tr w:rsidR="00CB48CC" w:rsidRPr="00B817D9" w14:paraId="58F7E1A1" w14:textId="77777777" w:rsidTr="008979D2">
        <w:trPr>
          <w:trHeight w:val="304"/>
        </w:trPr>
        <w:tc>
          <w:tcPr>
            <w:tcW w:w="1555" w:type="dxa"/>
            <w:gridSpan w:val="2"/>
          </w:tcPr>
          <w:p w14:paraId="775E3AF8" w14:textId="15CC0D81"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{0340;0010}</w:t>
            </w:r>
          </w:p>
        </w:tc>
        <w:tc>
          <w:tcPr>
            <w:tcW w:w="7566" w:type="dxa"/>
          </w:tcPr>
          <w:p w14:paraId="750922D1" w14:textId="77777777"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Wskaźnik dźwigni – przy zastosowaniu definicji przejściowej kapitału Tier I</w:t>
            </w:r>
          </w:p>
          <w:p w14:paraId="26098DFB" w14:textId="56343F95" w:rsidR="00CB48CC" w:rsidRPr="00B817D9" w:rsidRDefault="00CB48CC"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429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499 ust.</w:t>
            </w:r>
            <w:r w:rsidR="00B817D9" w:rsidRPr="00B817D9">
              <w:rPr>
                <w:rFonts w:ascii="Times New Roman" w:hAnsi="Times New Roman"/>
                <w:sz w:val="24"/>
              </w:rPr>
              <w:t> </w:t>
            </w:r>
            <w:r w:rsidRPr="00B817D9">
              <w:rPr>
                <w:rFonts w:ascii="Times New Roman" w:hAnsi="Times New Roman"/>
                <w:sz w:val="24"/>
              </w:rPr>
              <w:t>1 rozporządzenia (UE) nr</w:t>
            </w:r>
            <w:r w:rsidR="00B817D9" w:rsidRPr="00B817D9">
              <w:rPr>
                <w:rFonts w:ascii="Times New Roman" w:hAnsi="Times New Roman"/>
                <w:sz w:val="24"/>
              </w:rPr>
              <w:t> </w:t>
            </w:r>
            <w:r w:rsidRPr="00B817D9">
              <w:rPr>
                <w:rFonts w:ascii="Times New Roman" w:hAnsi="Times New Roman"/>
                <w:sz w:val="24"/>
              </w:rPr>
              <w:t>575/2013</w:t>
            </w:r>
          </w:p>
          <w:p w14:paraId="173B4CA4" w14:textId="6FF32273" w:rsidR="000A486B" w:rsidRPr="00B817D9" w:rsidRDefault="00CB48CC" w:rsidP="00B70EBF">
            <w:pPr>
              <w:pStyle w:val="BodyText1"/>
              <w:spacing w:after="240" w:line="240" w:lineRule="auto"/>
              <w:rPr>
                <w:rFonts w:ascii="Times New Roman" w:hAnsi="Times New Roman"/>
                <w:b/>
                <w:bCs/>
                <w:sz w:val="24"/>
                <w:szCs w:val="24"/>
              </w:rPr>
            </w:pPr>
            <w:r w:rsidRPr="00B817D9">
              <w:rPr>
                <w:rFonts w:ascii="Times New Roman" w:hAnsi="Times New Roman"/>
                <w:sz w:val="24"/>
              </w:rPr>
              <w:t>Jest to wskaźnik dźwigni obliczany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nin</w:t>
            </w:r>
            <w:r w:rsidRPr="00B817D9">
              <w:rPr>
                <w:rFonts w:ascii="Times New Roman" w:hAnsi="Times New Roman"/>
                <w:sz w:val="24"/>
              </w:rPr>
              <w:t>iejszym załącznikiem część II pkt</w:t>
            </w:r>
            <w:r w:rsidR="00B817D9" w:rsidRPr="00B817D9">
              <w:rPr>
                <w:rFonts w:ascii="Times New Roman" w:hAnsi="Times New Roman"/>
                <w:sz w:val="24"/>
              </w:rPr>
              <w:t> </w:t>
            </w:r>
            <w:r w:rsidRPr="00B817D9">
              <w:rPr>
                <w:rFonts w:ascii="Times New Roman" w:hAnsi="Times New Roman"/>
                <w:sz w:val="24"/>
              </w:rPr>
              <w:t>3.</w:t>
            </w:r>
          </w:p>
        </w:tc>
      </w:tr>
      <w:tr w:rsidR="00CB48CC" w:rsidRPr="00B817D9"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1D795738"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b/>
                <w:sz w:val="24"/>
              </w:rPr>
              <w:t>Wiersz</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kol</w:t>
            </w:r>
            <w:r w:rsidRPr="00B817D9">
              <w:rPr>
                <w:rFonts w:ascii="Times New Roman" w:hAnsi="Times New Roman"/>
                <w:b/>
                <w:sz w:val="24"/>
              </w:rPr>
              <w:t>umna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B817D9" w:rsidRDefault="00CB48C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Wymogi: kwoty</w:t>
            </w:r>
          </w:p>
        </w:tc>
      </w:tr>
      <w:tr w:rsidR="00E36E71" w:rsidRPr="00B817D9"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B817D9" w:rsidRDefault="00E36E71" w:rsidP="000B66BC">
            <w:pPr>
              <w:pStyle w:val="BodyText1"/>
              <w:spacing w:after="240"/>
              <w:rPr>
                <w:rFonts w:ascii="Times New Roman" w:hAnsi="Times New Roman"/>
                <w:bCs/>
                <w:sz w:val="24"/>
                <w:szCs w:val="24"/>
              </w:rPr>
            </w:pPr>
            <w:r w:rsidRPr="00B817D9">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4B78338C" w:rsidR="00E36E71" w:rsidRPr="00B817D9" w:rsidRDefault="00E36E71"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Wymóg</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ram</w:t>
            </w:r>
            <w:r w:rsidRPr="00B817D9">
              <w:rPr>
                <w:rFonts w:ascii="Times New Roman" w:hAnsi="Times New Roman"/>
                <w:b/>
                <w:color w:val="auto"/>
                <w:sz w:val="24"/>
              </w:rPr>
              <w:t>ach filaru II (P2R)</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cel</w:t>
            </w:r>
            <w:r w:rsidRPr="00B817D9">
              <w:rPr>
                <w:rFonts w:ascii="Times New Roman" w:hAnsi="Times New Roman"/>
                <w:b/>
                <w:color w:val="auto"/>
                <w:sz w:val="24"/>
              </w:rPr>
              <w:t>u uwzględnienia ryzyka nadmiernej dźwigni</w:t>
            </w:r>
          </w:p>
          <w:p w14:paraId="52420558" w14:textId="14B1DF55" w:rsidR="00E36E71" w:rsidRPr="00B817D9" w:rsidRDefault="008B096D" w:rsidP="00B70EBF">
            <w:pPr>
              <w:pStyle w:val="BodyText1"/>
              <w:spacing w:after="240" w:line="240" w:lineRule="auto"/>
              <w:rPr>
                <w:rFonts w:ascii="Times New Roman" w:hAnsi="Times New Roman"/>
                <w:b/>
                <w:color w:val="auto"/>
                <w:sz w:val="24"/>
                <w:szCs w:val="24"/>
              </w:rPr>
            </w:pPr>
            <w:r w:rsidRPr="00B817D9">
              <w:rPr>
                <w:rFonts w:ascii="Times New Roman" w:hAnsi="Times New Roman"/>
                <w:sz w:val="24"/>
              </w:rPr>
              <w:t>Art. 104</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1</w:t>
            </w:r>
            <w:r w:rsidRPr="00B817D9">
              <w:rPr>
                <w:rFonts w:ascii="Times New Roman" w:hAnsi="Times New Roman"/>
                <w:sz w:val="24"/>
              </w:rPr>
              <w:t>04a dyrektywy 2013/36/UE; dodatkowe fundusze własne wymagane przez właściwy organ przeznaczone na łagodzenie ryzyka nadmiernej dźwigni,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104 dyrektywy 2013/36/UE.</w:t>
            </w:r>
          </w:p>
        </w:tc>
      </w:tr>
      <w:tr w:rsidR="00E36E71" w:rsidRPr="00B817D9"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B817D9" w:rsidRDefault="00E36E71" w:rsidP="000B66BC">
            <w:pPr>
              <w:pStyle w:val="BodyText1"/>
              <w:spacing w:after="240"/>
              <w:rPr>
                <w:rFonts w:ascii="Times New Roman" w:hAnsi="Times New Roman"/>
                <w:bCs/>
                <w:sz w:val="24"/>
                <w:szCs w:val="24"/>
              </w:rPr>
            </w:pPr>
            <w:r w:rsidRPr="00B817D9">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4A4E684B" w:rsidR="00E36E71" w:rsidRPr="00B817D9" w:rsidRDefault="00E36E71"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W tym: składające się</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kap</w:t>
            </w:r>
            <w:r w:rsidRPr="00B817D9">
              <w:rPr>
                <w:rFonts w:ascii="Times New Roman" w:hAnsi="Times New Roman"/>
                <w:b/>
                <w:color w:val="auto"/>
                <w:sz w:val="24"/>
              </w:rPr>
              <w:t>itału podstawowego Tier I</w:t>
            </w:r>
          </w:p>
          <w:p w14:paraId="118609BA" w14:textId="5F986067" w:rsidR="008E21B3" w:rsidRPr="00B817D9" w:rsidRDefault="008E21B3" w:rsidP="00B70EBF">
            <w:pPr>
              <w:pStyle w:val="BodyText1"/>
              <w:spacing w:after="240" w:line="240" w:lineRule="auto"/>
              <w:rPr>
                <w:rFonts w:ascii="Times New Roman" w:hAnsi="Times New Roman"/>
                <w:b/>
                <w:color w:val="auto"/>
                <w:sz w:val="24"/>
                <w:szCs w:val="24"/>
              </w:rPr>
            </w:pPr>
            <w:r w:rsidRPr="00B817D9">
              <w:rPr>
                <w:rFonts w:ascii="Times New Roman" w:hAnsi="Times New Roman"/>
                <w:color w:val="auto"/>
                <w:sz w:val="24"/>
              </w:rPr>
              <w:t>Część P2R,</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rym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0350, którą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wym</w:t>
            </w:r>
            <w:r w:rsidRPr="00B817D9">
              <w:rPr>
                <w:rFonts w:ascii="Times New Roman" w:hAnsi="Times New Roman"/>
                <w:color w:val="auto"/>
                <w:sz w:val="24"/>
              </w:rPr>
              <w:t>ogami właściwego organu należy utrzymywać</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for</w:t>
            </w:r>
            <w:r w:rsidRPr="00B817D9">
              <w:rPr>
                <w:rFonts w:ascii="Times New Roman" w:hAnsi="Times New Roman"/>
                <w:color w:val="auto"/>
                <w:sz w:val="24"/>
              </w:rPr>
              <w:t>mie kapitału podstawowego Tier I.</w:t>
            </w:r>
          </w:p>
        </w:tc>
      </w:tr>
      <w:tr w:rsidR="00E36E71" w:rsidRPr="00B817D9"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B817D9" w:rsidRDefault="00E36E71" w:rsidP="000B66BC">
            <w:pPr>
              <w:pStyle w:val="BodyText1"/>
              <w:spacing w:after="240"/>
              <w:rPr>
                <w:rFonts w:ascii="Times New Roman" w:hAnsi="Times New Roman"/>
                <w:bCs/>
                <w:sz w:val="24"/>
                <w:szCs w:val="24"/>
              </w:rPr>
            </w:pPr>
            <w:r w:rsidRPr="00B817D9">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B817D9" w:rsidRDefault="00E36E71"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Bufor wskaźnika dźwigni G-SII</w:t>
            </w:r>
          </w:p>
          <w:p w14:paraId="2DF708A7" w14:textId="6C41011A" w:rsidR="008E21B3" w:rsidRPr="00B817D9" w:rsidRDefault="008E21B3" w:rsidP="000B66BC">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Art. 92 ust.</w:t>
            </w:r>
            <w:r w:rsidR="00B817D9" w:rsidRPr="00B817D9">
              <w:rPr>
                <w:rFonts w:ascii="Times New Roman" w:hAnsi="Times New Roman"/>
                <w:sz w:val="24"/>
              </w:rPr>
              <w:t> </w:t>
            </w:r>
            <w:r w:rsidRPr="00B817D9">
              <w:rPr>
                <w:rFonts w:ascii="Times New Roman" w:hAnsi="Times New Roman"/>
                <w:sz w:val="24"/>
              </w:rPr>
              <w:t>1a rozporządzenia (UE) nr</w:t>
            </w:r>
            <w:r w:rsidR="00B817D9" w:rsidRPr="00B817D9">
              <w:rPr>
                <w:rFonts w:ascii="Times New Roman" w:hAnsi="Times New Roman"/>
                <w:sz w:val="24"/>
              </w:rPr>
              <w:t> </w:t>
            </w:r>
            <w:r w:rsidRPr="00B817D9">
              <w:rPr>
                <w:rFonts w:ascii="Times New Roman" w:hAnsi="Times New Roman"/>
                <w:sz w:val="24"/>
              </w:rPr>
              <w:t>575/2013</w:t>
            </w:r>
          </w:p>
          <w:p w14:paraId="04DDCD79" w14:textId="2376414B" w:rsidR="008E21B3" w:rsidRPr="00B817D9" w:rsidRDefault="00B70EBF" w:rsidP="000B66BC">
            <w:pPr>
              <w:pStyle w:val="BodyText1"/>
              <w:spacing w:after="240"/>
              <w:rPr>
                <w:rFonts w:ascii="Times New Roman" w:hAnsi="Times New Roman"/>
                <w:bCs/>
                <w:color w:val="auto"/>
                <w:sz w:val="24"/>
                <w:szCs w:val="24"/>
              </w:rPr>
            </w:pPr>
            <w:r w:rsidRPr="00B817D9">
              <w:rPr>
                <w:rFonts w:ascii="Times New Roman" w:hAnsi="Times New Roman"/>
                <w:sz w:val="24"/>
              </w:rPr>
              <w:t>Globalne instytucje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zna</w:t>
            </w:r>
            <w:r w:rsidRPr="00B817D9">
              <w:rPr>
                <w:rFonts w:ascii="Times New Roman" w:hAnsi="Times New Roman"/>
                <w:sz w:val="24"/>
              </w:rPr>
              <w:t>czeniu systemowym zgłaszają wartość narzutu globalnej instytucji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zna</w:t>
            </w:r>
            <w:r w:rsidRPr="00B817D9">
              <w:rPr>
                <w:rFonts w:ascii="Times New Roman" w:hAnsi="Times New Roman"/>
                <w:sz w:val="24"/>
              </w:rPr>
              <w:t>czeniu systemowym dla wskaźnika dźwigni określoną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92 ust.</w:t>
            </w:r>
            <w:r w:rsidR="00B817D9" w:rsidRPr="00B817D9">
              <w:rPr>
                <w:rFonts w:ascii="Times New Roman" w:hAnsi="Times New Roman"/>
                <w:sz w:val="24"/>
              </w:rPr>
              <w:t> </w:t>
            </w:r>
            <w:r w:rsidRPr="00B817D9">
              <w:rPr>
                <w:rFonts w:ascii="Times New Roman" w:hAnsi="Times New Roman"/>
                <w:sz w:val="24"/>
              </w:rPr>
              <w:t>1a rozporządzenia (UE) nr</w:t>
            </w:r>
            <w:r w:rsidR="00B817D9" w:rsidRPr="00B817D9">
              <w:rPr>
                <w:rFonts w:ascii="Times New Roman" w:hAnsi="Times New Roman"/>
                <w:sz w:val="24"/>
              </w:rPr>
              <w:t> </w:t>
            </w:r>
            <w:r w:rsidRPr="00B817D9">
              <w:rPr>
                <w:rFonts w:ascii="Times New Roman" w:hAnsi="Times New Roman"/>
                <w:sz w:val="24"/>
              </w:rPr>
              <w:t>575/2013.</w:t>
            </w:r>
          </w:p>
          <w:p w14:paraId="10B82F9E" w14:textId="4D3A11CA" w:rsidR="00E36E71" w:rsidRPr="00B817D9" w:rsidRDefault="008E21B3" w:rsidP="000B66BC">
            <w:pPr>
              <w:pStyle w:val="BodyText1"/>
              <w:spacing w:after="240"/>
              <w:rPr>
                <w:rFonts w:ascii="Times New Roman" w:hAnsi="Times New Roman"/>
                <w:b/>
                <w:color w:val="auto"/>
                <w:sz w:val="24"/>
                <w:szCs w:val="24"/>
              </w:rPr>
            </w:pPr>
            <w:r w:rsidRPr="00B817D9">
              <w:rPr>
                <w:rFonts w:ascii="Times New Roman" w:hAnsi="Times New Roman"/>
                <w:sz w:val="24"/>
              </w:rPr>
              <w:lastRenderedPageBreak/>
              <w:t>Globalne instytucje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zna</w:t>
            </w:r>
            <w:r w:rsidRPr="00B817D9">
              <w:rPr>
                <w:rFonts w:ascii="Times New Roman" w:hAnsi="Times New Roman"/>
                <w:sz w:val="24"/>
              </w:rPr>
              <w:t>czeniu systemowym zgłaszają tę kwotę zgodnie ze stanem na dzień zastosowania buforu wynikającego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roz</w:t>
            </w:r>
            <w:r w:rsidRPr="00B817D9">
              <w:rPr>
                <w:rFonts w:ascii="Times New Roman" w:hAnsi="Times New Roman"/>
                <w:sz w:val="24"/>
              </w:rPr>
              <w:t>porządzenia (UE) nr</w:t>
            </w:r>
            <w:r w:rsidR="00B817D9" w:rsidRPr="00B817D9">
              <w:rPr>
                <w:rFonts w:ascii="Times New Roman" w:hAnsi="Times New Roman"/>
                <w:sz w:val="24"/>
              </w:rPr>
              <w:t> </w:t>
            </w:r>
            <w:r w:rsidRPr="00B817D9">
              <w:rPr>
                <w:rFonts w:ascii="Times New Roman" w:hAnsi="Times New Roman"/>
                <w:sz w:val="24"/>
              </w:rPr>
              <w:t>575/2013.</w:t>
            </w:r>
          </w:p>
        </w:tc>
      </w:tr>
      <w:tr w:rsidR="00E36E71" w:rsidRPr="00B817D9"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B817D9" w:rsidRDefault="00E36E71" w:rsidP="000B66BC">
            <w:pPr>
              <w:pStyle w:val="BodyText1"/>
              <w:spacing w:after="240"/>
              <w:rPr>
                <w:rFonts w:ascii="Times New Roman" w:hAnsi="Times New Roman"/>
                <w:bCs/>
                <w:sz w:val="24"/>
                <w:szCs w:val="24"/>
              </w:rPr>
            </w:pPr>
            <w:r w:rsidRPr="00B817D9">
              <w:rPr>
                <w:rFonts w:ascii="Times New Roman" w:hAnsi="Times New Roman"/>
                <w:sz w:val="24"/>
              </w:rPr>
              <w:lastRenderedPageBreak/>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630C2A8E" w:rsidR="00E36E71" w:rsidRPr="00B817D9" w:rsidRDefault="00E36E71"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Wytyczne</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ram</w:t>
            </w:r>
            <w:r w:rsidRPr="00B817D9">
              <w:rPr>
                <w:rFonts w:ascii="Times New Roman" w:hAnsi="Times New Roman"/>
                <w:b/>
                <w:color w:val="auto"/>
                <w:sz w:val="24"/>
              </w:rPr>
              <w:t>ach filaru II (P2G)</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cel</w:t>
            </w:r>
            <w:r w:rsidRPr="00B817D9">
              <w:rPr>
                <w:rFonts w:ascii="Times New Roman" w:hAnsi="Times New Roman"/>
                <w:b/>
                <w:color w:val="auto"/>
                <w:sz w:val="24"/>
              </w:rPr>
              <w:t>u uwzględnienia ryzyka nadmiernej dźwigni</w:t>
            </w:r>
          </w:p>
          <w:p w14:paraId="0B3B1A45" w14:textId="20FA89B1" w:rsidR="00E36E71" w:rsidRPr="00B817D9" w:rsidRDefault="008E21B3" w:rsidP="00B70EBF">
            <w:pPr>
              <w:pStyle w:val="BodyText1"/>
              <w:spacing w:after="240" w:line="240" w:lineRule="auto"/>
              <w:rPr>
                <w:rFonts w:ascii="Times New Roman" w:hAnsi="Times New Roman"/>
                <w:b/>
                <w:color w:val="auto"/>
                <w:sz w:val="24"/>
                <w:szCs w:val="24"/>
              </w:rPr>
            </w:pPr>
            <w:r w:rsidRPr="00B817D9">
              <w:rPr>
                <w:rFonts w:ascii="Times New Roman" w:hAnsi="Times New Roman"/>
                <w:color w:val="auto"/>
                <w:sz w:val="24"/>
              </w:rPr>
              <w:t>Art. 104b dyrektywy 2013/36/UE; dodatkowe fundusze własne,</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rych poinformował właściwy organ, przeznaczone na łagodzenie ryzyka nadmiernej dźwigni,</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rych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art</w:t>
            </w:r>
            <w:r w:rsidRPr="00B817D9">
              <w:rPr>
                <w:rFonts w:ascii="Times New Roman" w:hAnsi="Times New Roman"/>
                <w:color w:val="auto"/>
                <w:sz w:val="24"/>
              </w:rPr>
              <w:t>.</w:t>
            </w:r>
            <w:r w:rsidR="00B817D9" w:rsidRPr="00B817D9">
              <w:rPr>
                <w:rFonts w:ascii="Times New Roman" w:hAnsi="Times New Roman"/>
                <w:color w:val="auto"/>
                <w:sz w:val="24"/>
              </w:rPr>
              <w:t> </w:t>
            </w:r>
            <w:r w:rsidRPr="00B817D9">
              <w:rPr>
                <w:rFonts w:ascii="Times New Roman" w:hAnsi="Times New Roman"/>
                <w:color w:val="auto"/>
                <w:sz w:val="24"/>
              </w:rPr>
              <w:t>104b dyrektywy 2013/36/UE.</w:t>
            </w:r>
          </w:p>
        </w:tc>
      </w:tr>
      <w:tr w:rsidR="00E36E71" w:rsidRPr="00B817D9"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B817D9" w:rsidRDefault="00E36E71" w:rsidP="000B66BC">
            <w:pPr>
              <w:pStyle w:val="BodyText1"/>
              <w:spacing w:after="240"/>
              <w:rPr>
                <w:rFonts w:ascii="Times New Roman" w:hAnsi="Times New Roman"/>
                <w:bCs/>
                <w:sz w:val="24"/>
                <w:szCs w:val="24"/>
              </w:rPr>
            </w:pPr>
            <w:r w:rsidRPr="00B817D9">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035B9A3C" w:rsidR="00E36E71" w:rsidRPr="00B817D9" w:rsidRDefault="00E36E71"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W tym: składające się</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kap</w:t>
            </w:r>
            <w:r w:rsidRPr="00B817D9">
              <w:rPr>
                <w:rFonts w:ascii="Times New Roman" w:hAnsi="Times New Roman"/>
                <w:b/>
                <w:color w:val="auto"/>
                <w:sz w:val="24"/>
              </w:rPr>
              <w:t>itału podstawowego Tier I</w:t>
            </w:r>
          </w:p>
          <w:p w14:paraId="3318F690" w14:textId="546098F9" w:rsidR="00E36E71" w:rsidRPr="00B817D9" w:rsidRDefault="00FB31D6" w:rsidP="00B70EBF">
            <w:pPr>
              <w:pStyle w:val="BodyText1"/>
              <w:spacing w:after="240" w:line="240" w:lineRule="auto"/>
              <w:rPr>
                <w:rFonts w:ascii="Times New Roman" w:hAnsi="Times New Roman"/>
                <w:b/>
                <w:color w:val="auto"/>
                <w:sz w:val="24"/>
                <w:szCs w:val="24"/>
              </w:rPr>
            </w:pPr>
            <w:r w:rsidRPr="00B817D9">
              <w:rPr>
                <w:rFonts w:ascii="Times New Roman" w:hAnsi="Times New Roman"/>
                <w:color w:val="auto"/>
                <w:sz w:val="24"/>
              </w:rPr>
              <w:t>Część P2G,</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rych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0380, którą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wym</w:t>
            </w:r>
            <w:r w:rsidRPr="00B817D9">
              <w:rPr>
                <w:rFonts w:ascii="Times New Roman" w:hAnsi="Times New Roman"/>
                <w:color w:val="auto"/>
                <w:sz w:val="24"/>
              </w:rPr>
              <w:t>ogami właściwego organu należy utrzymywać</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for</w:t>
            </w:r>
            <w:r w:rsidRPr="00B817D9">
              <w:rPr>
                <w:rFonts w:ascii="Times New Roman" w:hAnsi="Times New Roman"/>
                <w:color w:val="auto"/>
                <w:sz w:val="24"/>
              </w:rPr>
              <w:t>mie kapitału podstawowego Tier I.</w:t>
            </w:r>
          </w:p>
        </w:tc>
      </w:tr>
      <w:tr w:rsidR="00E36E71" w:rsidRPr="00B817D9"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B817D9" w:rsidRDefault="00E36E71" w:rsidP="000B66BC">
            <w:pPr>
              <w:pStyle w:val="BodyText1"/>
              <w:spacing w:after="240"/>
              <w:rPr>
                <w:rFonts w:ascii="Times New Roman" w:hAnsi="Times New Roman"/>
                <w:bCs/>
                <w:sz w:val="24"/>
                <w:szCs w:val="24"/>
              </w:rPr>
            </w:pPr>
            <w:r w:rsidRPr="00B817D9">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179B769A" w:rsidR="00FB31D6" w:rsidRPr="00B817D9" w:rsidRDefault="00E36E71" w:rsidP="000B66BC">
            <w:pPr>
              <w:pStyle w:val="BodyText1"/>
              <w:spacing w:after="240" w:line="240" w:lineRule="auto"/>
              <w:rPr>
                <w:rFonts w:ascii="Times New Roman" w:hAnsi="Times New Roman"/>
                <w:color w:val="auto"/>
                <w:sz w:val="24"/>
                <w:szCs w:val="24"/>
              </w:rPr>
            </w:pPr>
            <w:r w:rsidRPr="00B817D9">
              <w:rPr>
                <w:rFonts w:ascii="Times New Roman" w:hAnsi="Times New Roman"/>
                <w:b/>
                <w:color w:val="auto"/>
                <w:sz w:val="24"/>
              </w:rPr>
              <w:t>W tym: składające się</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kap</w:t>
            </w:r>
            <w:r w:rsidRPr="00B817D9">
              <w:rPr>
                <w:rFonts w:ascii="Times New Roman" w:hAnsi="Times New Roman"/>
                <w:b/>
                <w:color w:val="auto"/>
                <w:sz w:val="24"/>
              </w:rPr>
              <w:t>itału Tier I</w:t>
            </w:r>
          </w:p>
          <w:p w14:paraId="69A1223C" w14:textId="5D158E5F" w:rsidR="00E36E71" w:rsidRPr="00B817D9" w:rsidRDefault="00FB31D6" w:rsidP="00B70EBF">
            <w:pPr>
              <w:pStyle w:val="BodyText1"/>
              <w:spacing w:after="240" w:line="240" w:lineRule="auto"/>
              <w:rPr>
                <w:rFonts w:ascii="Times New Roman" w:hAnsi="Times New Roman"/>
                <w:b/>
                <w:color w:val="auto"/>
                <w:sz w:val="24"/>
                <w:szCs w:val="24"/>
              </w:rPr>
            </w:pPr>
            <w:r w:rsidRPr="00B817D9">
              <w:rPr>
                <w:rFonts w:ascii="Times New Roman" w:hAnsi="Times New Roman"/>
                <w:color w:val="auto"/>
                <w:sz w:val="24"/>
              </w:rPr>
              <w:t>Część P2G,</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rych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0380, którą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wym</w:t>
            </w:r>
            <w:r w:rsidRPr="00B817D9">
              <w:rPr>
                <w:rFonts w:ascii="Times New Roman" w:hAnsi="Times New Roman"/>
                <w:color w:val="auto"/>
                <w:sz w:val="24"/>
              </w:rPr>
              <w:t>ogami właściwego organu należy utrzymywać</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for</w:t>
            </w:r>
            <w:r w:rsidRPr="00B817D9">
              <w:rPr>
                <w:rFonts w:ascii="Times New Roman" w:hAnsi="Times New Roman"/>
                <w:color w:val="auto"/>
                <w:sz w:val="24"/>
              </w:rPr>
              <w:t>mie kapitału Tier I</w:t>
            </w:r>
            <w:r w:rsidR="00523E15" w:rsidRPr="00B817D9">
              <w:rPr>
                <w:rFonts w:ascii="Times New Roman" w:hAnsi="Times New Roman"/>
                <w:color w:val="auto"/>
                <w:sz w:val="24"/>
              </w:rPr>
              <w:t>.</w:t>
            </w:r>
          </w:p>
        </w:tc>
      </w:tr>
      <w:tr w:rsidR="00E36E71" w:rsidRPr="00B817D9"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04F64D3F" w:rsidR="00E36E71" w:rsidRPr="00B817D9" w:rsidRDefault="00E36E71" w:rsidP="000B66BC">
            <w:pPr>
              <w:pStyle w:val="BodyText1"/>
              <w:spacing w:after="240"/>
              <w:rPr>
                <w:rFonts w:ascii="Times New Roman" w:hAnsi="Times New Roman"/>
                <w:b/>
                <w:bCs/>
                <w:sz w:val="24"/>
                <w:szCs w:val="24"/>
              </w:rPr>
            </w:pPr>
            <w:r w:rsidRPr="00B817D9">
              <w:rPr>
                <w:rFonts w:ascii="Times New Roman" w:hAnsi="Times New Roman"/>
                <w:b/>
                <w:sz w:val="24"/>
              </w:rPr>
              <w:t>Wiersz</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kol</w:t>
            </w:r>
            <w:r w:rsidRPr="00B817D9">
              <w:rPr>
                <w:rFonts w:ascii="Times New Roman" w:hAnsi="Times New Roman"/>
                <w:b/>
                <w:sz w:val="24"/>
              </w:rPr>
              <w:t>umna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B817D9" w:rsidRDefault="00E36E71" w:rsidP="000B66BC">
            <w:pPr>
              <w:pStyle w:val="BodyText1"/>
              <w:spacing w:after="240" w:line="240" w:lineRule="auto"/>
              <w:rPr>
                <w:rFonts w:ascii="Times New Roman" w:hAnsi="Times New Roman"/>
                <w:b/>
                <w:color w:val="auto"/>
                <w:sz w:val="24"/>
                <w:szCs w:val="24"/>
              </w:rPr>
            </w:pPr>
            <w:r w:rsidRPr="00B817D9">
              <w:rPr>
                <w:rFonts w:ascii="Times New Roman" w:hAnsi="Times New Roman"/>
                <w:b/>
                <w:sz w:val="24"/>
              </w:rPr>
              <w:t>Wymogi: wskaźniki</w:t>
            </w:r>
          </w:p>
        </w:tc>
      </w:tr>
      <w:tr w:rsidR="00CB48CC" w:rsidRPr="00B817D9"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B817D9" w:rsidRDefault="00CB48CC" w:rsidP="000B66BC">
            <w:pPr>
              <w:pStyle w:val="BodyText1"/>
              <w:spacing w:after="240"/>
              <w:rPr>
                <w:rFonts w:ascii="Times New Roman" w:hAnsi="Times New Roman"/>
                <w:bCs/>
                <w:sz w:val="24"/>
                <w:szCs w:val="24"/>
              </w:rPr>
            </w:pPr>
            <w:r w:rsidRPr="00B817D9">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148209F0" w:rsidR="00CB48CC" w:rsidRPr="00B817D9" w:rsidRDefault="00E36E71" w:rsidP="000B66BC">
            <w:pPr>
              <w:pStyle w:val="BodyText1"/>
              <w:spacing w:after="240" w:line="240" w:lineRule="auto"/>
              <w:rPr>
                <w:rFonts w:ascii="Times New Roman" w:hAnsi="Times New Roman"/>
                <w:b/>
                <w:bCs/>
                <w:color w:val="auto"/>
                <w:sz w:val="24"/>
                <w:szCs w:val="24"/>
              </w:rPr>
            </w:pPr>
            <w:r w:rsidRPr="00B817D9">
              <w:rPr>
                <w:rFonts w:ascii="Times New Roman" w:hAnsi="Times New Roman"/>
                <w:b/>
                <w:color w:val="auto"/>
                <w:sz w:val="24"/>
              </w:rPr>
              <w:t>Wymóg</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ram</w:t>
            </w:r>
            <w:r w:rsidRPr="00B817D9">
              <w:rPr>
                <w:rFonts w:ascii="Times New Roman" w:hAnsi="Times New Roman"/>
                <w:b/>
                <w:color w:val="auto"/>
                <w:sz w:val="24"/>
              </w:rPr>
              <w:t xml:space="preserve">ach filaru I dotyczący wskaźnika dźwigni </w:t>
            </w:r>
          </w:p>
          <w:p w14:paraId="75955E40" w14:textId="4EFA8E91" w:rsidR="00B70EBF" w:rsidRPr="00B817D9" w:rsidRDefault="006F5F1F" w:rsidP="00B70EBF">
            <w:pPr>
              <w:pStyle w:val="BodyText1"/>
              <w:spacing w:after="240" w:line="240" w:lineRule="auto"/>
              <w:rPr>
                <w:rFonts w:ascii="Times New Roman" w:hAnsi="Times New Roman"/>
                <w:bCs/>
                <w:color w:val="auto"/>
                <w:sz w:val="24"/>
                <w:szCs w:val="24"/>
              </w:rPr>
            </w:pPr>
            <w:r w:rsidRPr="00B817D9">
              <w:rPr>
                <w:rFonts w:ascii="Times New Roman" w:hAnsi="Times New Roman"/>
                <w:sz w:val="24"/>
              </w:rPr>
              <w:t>Art. 92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 art.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7</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n) rozporządzenia (UE) nr</w:t>
            </w:r>
            <w:r w:rsidR="00B817D9" w:rsidRPr="00B817D9">
              <w:rPr>
                <w:rFonts w:ascii="Times New Roman" w:hAnsi="Times New Roman"/>
                <w:sz w:val="24"/>
              </w:rPr>
              <w:t> </w:t>
            </w:r>
            <w:r w:rsidRPr="00B817D9">
              <w:rPr>
                <w:rFonts w:ascii="Times New Roman" w:hAnsi="Times New Roman"/>
                <w:sz w:val="24"/>
              </w:rPr>
              <w:t>575/2013; wskaźnik dźwigni wymagany do łagodzenia ryzyka nadmiernej dźwigni,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rym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92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 rozporządzenia (UE) nr</w:t>
            </w:r>
            <w:r w:rsidR="00B817D9" w:rsidRPr="00B817D9">
              <w:rPr>
                <w:rFonts w:ascii="Times New Roman" w:hAnsi="Times New Roman"/>
                <w:sz w:val="24"/>
              </w:rPr>
              <w:t> </w:t>
            </w:r>
            <w:r w:rsidRPr="00B817D9">
              <w:rPr>
                <w:rFonts w:ascii="Times New Roman" w:hAnsi="Times New Roman"/>
                <w:sz w:val="24"/>
              </w:rPr>
              <w:t>575/2013.</w:t>
            </w:r>
          </w:p>
          <w:p w14:paraId="2ACA2F0E" w14:textId="3E0C8A65" w:rsidR="00CB48CC" w:rsidRPr="00B817D9" w:rsidRDefault="00FB31D6" w:rsidP="00B70EBF">
            <w:pPr>
              <w:pStyle w:val="BodyText1"/>
              <w:spacing w:after="240" w:line="240" w:lineRule="auto"/>
              <w:rPr>
                <w:rFonts w:ascii="Times New Roman" w:hAnsi="Times New Roman"/>
                <w:b/>
                <w:bCs/>
                <w:color w:val="auto"/>
                <w:sz w:val="24"/>
                <w:szCs w:val="24"/>
              </w:rPr>
            </w:pPr>
            <w:r w:rsidRPr="00B817D9">
              <w:rPr>
                <w:rFonts w:ascii="Times New Roman" w:hAnsi="Times New Roman"/>
                <w:sz w:val="24"/>
              </w:rPr>
              <w:t>Instytucje, które wyłączają ekspozycje wobec banku centralnego instytucji,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n), zgłaszają wymóg dotyczący skorygowanego wskaźnika dźwigni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7 rozporządzenia (UE) nr</w:t>
            </w:r>
            <w:r w:rsidR="00B817D9" w:rsidRPr="00B817D9">
              <w:rPr>
                <w:rFonts w:ascii="Times New Roman" w:hAnsi="Times New Roman"/>
                <w:sz w:val="24"/>
              </w:rPr>
              <w:t> </w:t>
            </w:r>
            <w:r w:rsidRPr="00B817D9">
              <w:rPr>
                <w:rFonts w:ascii="Times New Roman" w:hAnsi="Times New Roman"/>
                <w:sz w:val="24"/>
              </w:rPr>
              <w:t>575/2013.</w:t>
            </w:r>
          </w:p>
        </w:tc>
      </w:tr>
      <w:tr w:rsidR="00E36E71" w:rsidRPr="00B817D9"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B817D9" w:rsidRDefault="00E36E71" w:rsidP="000B66BC">
            <w:pPr>
              <w:pStyle w:val="BodyText1"/>
              <w:spacing w:after="240"/>
              <w:rPr>
                <w:rFonts w:ascii="Times New Roman" w:hAnsi="Times New Roman"/>
                <w:bCs/>
                <w:sz w:val="24"/>
                <w:szCs w:val="24"/>
              </w:rPr>
            </w:pPr>
            <w:r w:rsidRPr="00B817D9">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6242DD5A" w:rsidR="00E36E71" w:rsidRPr="00B817D9" w:rsidRDefault="00E36E71"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Całkowity wymóg dotyczący wskaźnika dźwigni</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ram</w:t>
            </w:r>
            <w:r w:rsidRPr="00B817D9">
              <w:rPr>
                <w:rFonts w:ascii="Times New Roman" w:hAnsi="Times New Roman"/>
                <w:b/>
                <w:color w:val="auto"/>
                <w:sz w:val="24"/>
              </w:rPr>
              <w:t>ach procesu przeglądu</w:t>
            </w:r>
            <w:r w:rsidR="00B817D9" w:rsidRPr="00B817D9">
              <w:rPr>
                <w:rFonts w:ascii="Times New Roman" w:hAnsi="Times New Roman"/>
                <w:b/>
                <w:color w:val="auto"/>
                <w:sz w:val="24"/>
              </w:rPr>
              <w:t xml:space="preserve"> i</w:t>
            </w:r>
            <w:r w:rsidR="00B817D9">
              <w:rPr>
                <w:rFonts w:ascii="Times New Roman" w:hAnsi="Times New Roman"/>
                <w:b/>
                <w:color w:val="auto"/>
                <w:sz w:val="24"/>
              </w:rPr>
              <w:t> </w:t>
            </w:r>
            <w:r w:rsidR="00B817D9" w:rsidRPr="00B817D9">
              <w:rPr>
                <w:rFonts w:ascii="Times New Roman" w:hAnsi="Times New Roman"/>
                <w:b/>
                <w:color w:val="auto"/>
                <w:sz w:val="24"/>
              </w:rPr>
              <w:t>oce</w:t>
            </w:r>
            <w:r w:rsidRPr="00B817D9">
              <w:rPr>
                <w:rFonts w:ascii="Times New Roman" w:hAnsi="Times New Roman"/>
                <w:b/>
                <w:color w:val="auto"/>
                <w:sz w:val="24"/>
              </w:rPr>
              <w:t>ny nadzorczej (TSLRR)</w:t>
            </w:r>
          </w:p>
          <w:p w14:paraId="58E6C4BD" w14:textId="73E018F3" w:rsidR="00FB31D6" w:rsidRPr="00B817D9" w:rsidRDefault="00136A9C"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104</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1</w:t>
            </w:r>
            <w:r w:rsidRPr="00B817D9">
              <w:rPr>
                <w:rFonts w:ascii="Times New Roman" w:hAnsi="Times New Roman"/>
                <w:sz w:val="24"/>
              </w:rPr>
              <w:t>04a dyrektywy 2013/36/UE</w:t>
            </w:r>
          </w:p>
          <w:p w14:paraId="010497B2" w14:textId="77777777" w:rsidR="00FB31D6" w:rsidRPr="00B817D9" w:rsidRDefault="00FB31D6" w:rsidP="000B66BC">
            <w:pPr>
              <w:pStyle w:val="BodyText1"/>
              <w:spacing w:after="240" w:line="240" w:lineRule="auto"/>
              <w:rPr>
                <w:rFonts w:ascii="Times New Roman" w:hAnsi="Times New Roman"/>
                <w:bCs/>
                <w:sz w:val="24"/>
                <w:szCs w:val="24"/>
              </w:rPr>
            </w:pPr>
            <w:r w:rsidRPr="00B817D9">
              <w:rPr>
                <w:rFonts w:ascii="Times New Roman" w:hAnsi="Times New Roman"/>
                <w:sz w:val="24"/>
              </w:rPr>
              <w:t>Suma następujących pkt (i) oraz (ii):</w:t>
            </w:r>
          </w:p>
          <w:p w14:paraId="2BCF2D92" w14:textId="221968D1" w:rsidR="00FB31D6" w:rsidRPr="00B817D9" w:rsidRDefault="00FB31D6" w:rsidP="000B66BC">
            <w:pPr>
              <w:pStyle w:val="BodyText1"/>
              <w:numPr>
                <w:ilvl w:val="0"/>
                <w:numId w:val="27"/>
              </w:numPr>
              <w:spacing w:after="240" w:line="240" w:lineRule="auto"/>
              <w:rPr>
                <w:rFonts w:ascii="Times New Roman" w:hAnsi="Times New Roman"/>
                <w:bCs/>
                <w:sz w:val="24"/>
                <w:szCs w:val="24"/>
              </w:rPr>
            </w:pPr>
            <w:r w:rsidRPr="00B817D9">
              <w:rPr>
                <w:rFonts w:ascii="Times New Roman" w:hAnsi="Times New Roman"/>
                <w:sz w:val="24"/>
              </w:rPr>
              <w:t>wymóg</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filaru 1 dotyczący wskaźnika dźwigni zgłoszony</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rszu 0410;</w:t>
            </w:r>
          </w:p>
          <w:p w14:paraId="4613F532" w14:textId="49800878" w:rsidR="00FB31D6" w:rsidRPr="00B817D9" w:rsidRDefault="00FB31D6" w:rsidP="000B66BC">
            <w:pPr>
              <w:pStyle w:val="BodyText1"/>
              <w:numPr>
                <w:ilvl w:val="0"/>
                <w:numId w:val="27"/>
              </w:numPr>
              <w:spacing w:after="240" w:line="240" w:lineRule="auto"/>
              <w:rPr>
                <w:rFonts w:ascii="Times New Roman" w:hAnsi="Times New Roman"/>
                <w:b/>
                <w:color w:val="auto"/>
                <w:sz w:val="24"/>
                <w:szCs w:val="24"/>
              </w:rPr>
            </w:pPr>
            <w:r w:rsidRPr="00B817D9">
              <w:rPr>
                <w:rFonts w:ascii="Times New Roman" w:hAnsi="Times New Roman"/>
                <w:sz w:val="24"/>
              </w:rPr>
              <w:t xml:space="preserve">wskaźnik dodatkowych funduszy własnych wymaganych przez właściwy organ (P2R), przeznaczonych na łagodzenie ryzyka </w:t>
            </w:r>
            <w:r w:rsidRPr="00B817D9">
              <w:rPr>
                <w:rFonts w:ascii="Times New Roman" w:hAnsi="Times New Roman"/>
                <w:sz w:val="24"/>
              </w:rPr>
              <w:lastRenderedPageBreak/>
              <w:t>nadmiernej dźwigni,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104 dyrektywy 2013/36/UE.</w:t>
            </w:r>
          </w:p>
          <w:p w14:paraId="4F1A1488" w14:textId="1767AECD" w:rsidR="00B70EBF" w:rsidRPr="00B817D9" w:rsidRDefault="00780634" w:rsidP="00B70EBF">
            <w:pPr>
              <w:pStyle w:val="BodyText1"/>
              <w:spacing w:after="240" w:line="240" w:lineRule="auto"/>
              <w:rPr>
                <w:rFonts w:ascii="Times New Roman" w:hAnsi="Times New Roman"/>
                <w:color w:val="auto"/>
                <w:sz w:val="24"/>
                <w:szCs w:val="24"/>
              </w:rPr>
            </w:pPr>
            <w:r w:rsidRPr="00B817D9">
              <w:rPr>
                <w:rFonts w:ascii="Times New Roman" w:hAnsi="Times New Roman"/>
                <w:sz w:val="24"/>
              </w:rPr>
              <w:t>Instytucje obliczają wartość zgłaszaną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w:t>
            </w:r>
            <w:r w:rsidRPr="00B817D9">
              <w:rPr>
                <w:rFonts w:ascii="Times New Roman" w:hAnsi="Times New Roman"/>
                <w:sz w:val="24"/>
              </w:rPr>
              <w:t xml:space="preserve"> (ii), dzieląc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{0350;0010} przez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{0300;0010}.</w:t>
            </w:r>
            <w:r w:rsidRPr="00B817D9">
              <w:rPr>
                <w:rFonts w:ascii="Times New Roman" w:hAnsi="Times New Roman"/>
                <w:color w:val="auto"/>
                <w:sz w:val="24"/>
              </w:rPr>
              <w:t xml:space="preserve"> </w:t>
            </w:r>
          </w:p>
          <w:p w14:paraId="128BD13A" w14:textId="279D34D5" w:rsidR="00FB31D6" w:rsidRPr="00B817D9" w:rsidRDefault="00B70EBF" w:rsidP="00B70EBF">
            <w:pPr>
              <w:pStyle w:val="BodyText1"/>
              <w:spacing w:after="240" w:line="240" w:lineRule="auto"/>
              <w:rPr>
                <w:rFonts w:ascii="Times New Roman" w:hAnsi="Times New Roman"/>
                <w:b/>
                <w:color w:val="auto"/>
                <w:sz w:val="24"/>
                <w:szCs w:val="24"/>
              </w:rPr>
            </w:pPr>
            <w:r w:rsidRPr="00B817D9">
              <w:rPr>
                <w:rFonts w:ascii="Times New Roman" w:hAnsi="Times New Roman"/>
                <w:color w:val="auto"/>
                <w:sz w:val="24"/>
              </w:rPr>
              <w:t>Jeżeli właściwy organ nie podał żadnych wymogów</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zak</w:t>
            </w:r>
            <w:r w:rsidRPr="00B817D9">
              <w:rPr>
                <w:rFonts w:ascii="Times New Roman" w:hAnsi="Times New Roman"/>
                <w:color w:val="auto"/>
                <w:sz w:val="24"/>
              </w:rPr>
              <w:t>resie dodatkowych funduszy własnych, zgłasza się wyłącznie pkt (i).</w:t>
            </w:r>
          </w:p>
        </w:tc>
      </w:tr>
      <w:tr w:rsidR="00E36E71" w:rsidRPr="00B817D9"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B817D9" w:rsidRDefault="00E36E71" w:rsidP="000B66BC">
            <w:pPr>
              <w:pStyle w:val="BodyText1"/>
              <w:spacing w:after="240"/>
              <w:rPr>
                <w:rFonts w:ascii="Times New Roman" w:hAnsi="Times New Roman"/>
                <w:bCs/>
                <w:sz w:val="24"/>
                <w:szCs w:val="24"/>
              </w:rPr>
            </w:pPr>
            <w:r w:rsidRPr="00B817D9">
              <w:rPr>
                <w:rFonts w:ascii="Times New Roman" w:hAnsi="Times New Roman"/>
                <w:sz w:val="24"/>
              </w:rPr>
              <w:lastRenderedPageBreak/>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06ADCA0D" w:rsidR="00E36E71" w:rsidRPr="00B817D9" w:rsidRDefault="001D36C8"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TSLRR: składający się</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kap</w:t>
            </w:r>
            <w:r w:rsidRPr="00B817D9">
              <w:rPr>
                <w:rFonts w:ascii="Times New Roman" w:hAnsi="Times New Roman"/>
                <w:b/>
                <w:color w:val="auto"/>
                <w:sz w:val="24"/>
              </w:rPr>
              <w:t>itału podstawowego Tier I</w:t>
            </w:r>
          </w:p>
          <w:p w14:paraId="7473B81A" w14:textId="2C02BF96" w:rsidR="00780634" w:rsidRPr="00B817D9" w:rsidRDefault="00A0709E" w:rsidP="000B66BC">
            <w:pPr>
              <w:pStyle w:val="BodyText1"/>
              <w:spacing w:after="240" w:line="240" w:lineRule="auto"/>
              <w:rPr>
                <w:rFonts w:ascii="Times New Roman" w:hAnsi="Times New Roman"/>
                <w:color w:val="auto"/>
                <w:sz w:val="24"/>
                <w:szCs w:val="24"/>
              </w:rPr>
            </w:pPr>
            <w:r w:rsidRPr="00B817D9">
              <w:rPr>
                <w:rFonts w:ascii="Times New Roman" w:hAnsi="Times New Roman"/>
                <w:color w:val="auto"/>
                <w:sz w:val="24"/>
              </w:rPr>
              <w:t>Część wskaźnika dodatkowych funduszy własnych,</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rym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0420 pkt (ii), którą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wym</w:t>
            </w:r>
            <w:r w:rsidRPr="00B817D9">
              <w:rPr>
                <w:rFonts w:ascii="Times New Roman" w:hAnsi="Times New Roman"/>
                <w:color w:val="auto"/>
                <w:sz w:val="24"/>
              </w:rPr>
              <w:t>ogami właściwego organu należy utrzymywać</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for</w:t>
            </w:r>
            <w:r w:rsidRPr="00B817D9">
              <w:rPr>
                <w:rFonts w:ascii="Times New Roman" w:hAnsi="Times New Roman"/>
                <w:color w:val="auto"/>
                <w:sz w:val="24"/>
              </w:rPr>
              <w:t>mie kapitału podstawowego Tier I.</w:t>
            </w:r>
          </w:p>
          <w:p w14:paraId="17146566" w14:textId="4B37B227" w:rsidR="00E36E71" w:rsidRPr="00B817D9" w:rsidRDefault="00780634" w:rsidP="000B66BC">
            <w:pPr>
              <w:pStyle w:val="BodyText1"/>
              <w:spacing w:after="240" w:line="240" w:lineRule="auto"/>
              <w:rPr>
                <w:rFonts w:ascii="Times New Roman" w:hAnsi="Times New Roman"/>
                <w:b/>
                <w:color w:val="auto"/>
                <w:sz w:val="24"/>
                <w:szCs w:val="24"/>
              </w:rPr>
            </w:pPr>
            <w:r w:rsidRPr="00B817D9">
              <w:rPr>
                <w:rFonts w:ascii="Times New Roman" w:hAnsi="Times New Roman"/>
                <w:sz w:val="24"/>
              </w:rPr>
              <w:t>Instytucje obliczają tę wartość, dzieląc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{0360;0010} przez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{0300;0010}.</w:t>
            </w:r>
          </w:p>
        </w:tc>
      </w:tr>
      <w:tr w:rsidR="00E36E71" w:rsidRPr="00B817D9"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B817D9" w:rsidRDefault="00E36E71" w:rsidP="000B66BC">
            <w:pPr>
              <w:pStyle w:val="BodyText1"/>
              <w:spacing w:after="240"/>
              <w:rPr>
                <w:rFonts w:ascii="Times New Roman" w:hAnsi="Times New Roman"/>
                <w:bCs/>
                <w:sz w:val="24"/>
                <w:szCs w:val="24"/>
              </w:rPr>
            </w:pPr>
            <w:r w:rsidRPr="00B817D9">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B817D9" w:rsidRDefault="00E36E71"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Całkowity wymóg dotyczący wskaźnika dźwigni (OLRR)</w:t>
            </w:r>
          </w:p>
          <w:p w14:paraId="42BE8CD3" w14:textId="60EC2BE2" w:rsidR="00136A9C" w:rsidRPr="00B817D9" w:rsidRDefault="00136A9C"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92 ust.</w:t>
            </w:r>
            <w:r w:rsidR="00B817D9" w:rsidRPr="00B817D9">
              <w:rPr>
                <w:rFonts w:ascii="Times New Roman" w:hAnsi="Times New Roman"/>
                <w:sz w:val="24"/>
              </w:rPr>
              <w:t> </w:t>
            </w:r>
            <w:r w:rsidRPr="00B817D9">
              <w:rPr>
                <w:rFonts w:ascii="Times New Roman" w:hAnsi="Times New Roman"/>
                <w:sz w:val="24"/>
              </w:rPr>
              <w:t>1a rozporządzenia (UE) nr</w:t>
            </w:r>
            <w:r w:rsidR="00B817D9" w:rsidRPr="00B817D9">
              <w:rPr>
                <w:rFonts w:ascii="Times New Roman" w:hAnsi="Times New Roman"/>
                <w:sz w:val="24"/>
              </w:rPr>
              <w:t> </w:t>
            </w:r>
            <w:r w:rsidRPr="00B817D9">
              <w:rPr>
                <w:rFonts w:ascii="Times New Roman" w:hAnsi="Times New Roman"/>
                <w:sz w:val="24"/>
              </w:rPr>
              <w:t>575/2013</w:t>
            </w:r>
          </w:p>
          <w:p w14:paraId="1BB646F8" w14:textId="77777777" w:rsidR="00136A9C" w:rsidRPr="00B817D9" w:rsidRDefault="00136A9C" w:rsidP="000B66BC">
            <w:pPr>
              <w:pStyle w:val="BodyText1"/>
              <w:spacing w:after="240"/>
              <w:rPr>
                <w:rFonts w:ascii="Times New Roman" w:hAnsi="Times New Roman"/>
                <w:bCs/>
                <w:color w:val="auto"/>
                <w:sz w:val="24"/>
                <w:szCs w:val="24"/>
              </w:rPr>
            </w:pPr>
            <w:r w:rsidRPr="00B817D9">
              <w:rPr>
                <w:rFonts w:ascii="Times New Roman" w:hAnsi="Times New Roman"/>
                <w:color w:val="auto"/>
                <w:sz w:val="24"/>
              </w:rPr>
              <w:t>Suma następujących pkt (i) oraz (ii):</w:t>
            </w:r>
          </w:p>
          <w:p w14:paraId="3ACD46ED" w14:textId="71ADD73F" w:rsidR="00136A9C" w:rsidRPr="00B817D9" w:rsidRDefault="00136A9C" w:rsidP="000B66BC">
            <w:pPr>
              <w:pStyle w:val="BodyText1"/>
              <w:numPr>
                <w:ilvl w:val="0"/>
                <w:numId w:val="28"/>
              </w:numPr>
              <w:spacing w:after="240"/>
              <w:rPr>
                <w:rFonts w:ascii="Times New Roman" w:hAnsi="Times New Roman"/>
                <w:bCs/>
                <w:color w:val="auto"/>
                <w:sz w:val="24"/>
                <w:szCs w:val="24"/>
              </w:rPr>
            </w:pPr>
            <w:r w:rsidRPr="00B817D9">
              <w:rPr>
                <w:rFonts w:ascii="Times New Roman" w:hAnsi="Times New Roman"/>
                <w:color w:val="auto"/>
                <w:sz w:val="24"/>
              </w:rPr>
              <w:t>TSLRR,</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rym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0420;</w:t>
            </w:r>
          </w:p>
          <w:p w14:paraId="7026B9BA" w14:textId="34C50FA8" w:rsidR="00136A9C" w:rsidRPr="00B817D9" w:rsidRDefault="00136A9C" w:rsidP="000B66BC">
            <w:pPr>
              <w:pStyle w:val="BodyText1"/>
              <w:numPr>
                <w:ilvl w:val="0"/>
                <w:numId w:val="28"/>
              </w:numPr>
              <w:spacing w:after="240"/>
              <w:rPr>
                <w:rFonts w:ascii="Times New Roman" w:hAnsi="Times New Roman"/>
                <w:bCs/>
                <w:color w:val="auto"/>
                <w:sz w:val="24"/>
                <w:szCs w:val="24"/>
              </w:rPr>
            </w:pPr>
            <w:r w:rsidRPr="00B817D9">
              <w:rPr>
                <w:rFonts w:ascii="Times New Roman" w:hAnsi="Times New Roman"/>
                <w:sz w:val="24"/>
              </w:rPr>
              <w:t>bufora wskaźnika dźwigni globalnej instytucji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zna</w:t>
            </w:r>
            <w:r w:rsidRPr="00B817D9">
              <w:rPr>
                <w:rFonts w:ascii="Times New Roman" w:hAnsi="Times New Roman"/>
                <w:sz w:val="24"/>
              </w:rPr>
              <w:t>czeniu systemowym,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92 ust.</w:t>
            </w:r>
            <w:r w:rsidR="00B817D9" w:rsidRPr="00B817D9">
              <w:rPr>
                <w:rFonts w:ascii="Times New Roman" w:hAnsi="Times New Roman"/>
                <w:sz w:val="24"/>
              </w:rPr>
              <w:t> </w:t>
            </w:r>
            <w:r w:rsidRPr="00B817D9">
              <w:rPr>
                <w:rFonts w:ascii="Times New Roman" w:hAnsi="Times New Roman"/>
                <w:sz w:val="24"/>
              </w:rPr>
              <w:t>1a) rozporządzenia (UE) nr</w:t>
            </w:r>
            <w:r w:rsidR="00B817D9" w:rsidRPr="00B817D9">
              <w:rPr>
                <w:rFonts w:ascii="Times New Roman" w:hAnsi="Times New Roman"/>
                <w:sz w:val="24"/>
              </w:rPr>
              <w:t> </w:t>
            </w:r>
            <w:r w:rsidRPr="00B817D9">
              <w:rPr>
                <w:rFonts w:ascii="Times New Roman" w:hAnsi="Times New Roman"/>
                <w:sz w:val="24"/>
              </w:rPr>
              <w:t>575/2013, wyrażonego jako odsetek całkowitej ekspozycji wskaźnika dźwigni</w:t>
            </w:r>
            <w:r w:rsidR="00523E15" w:rsidRPr="00B817D9">
              <w:rPr>
                <w:rFonts w:ascii="Times New Roman" w:hAnsi="Times New Roman"/>
                <w:sz w:val="24"/>
              </w:rPr>
              <w:t>.</w:t>
            </w:r>
          </w:p>
          <w:p w14:paraId="2D72E728" w14:textId="15DCB866" w:rsidR="00B70EBF" w:rsidRPr="00B817D9" w:rsidRDefault="00B70EBF" w:rsidP="000B66BC">
            <w:pPr>
              <w:pStyle w:val="BodyText1"/>
              <w:spacing w:after="240"/>
              <w:rPr>
                <w:rFonts w:ascii="Times New Roman" w:hAnsi="Times New Roman"/>
                <w:bCs/>
                <w:sz w:val="24"/>
                <w:szCs w:val="24"/>
              </w:rPr>
            </w:pPr>
            <w:r w:rsidRPr="00B817D9">
              <w:rPr>
                <w:rFonts w:ascii="Times New Roman" w:hAnsi="Times New Roman"/>
                <w:sz w:val="24"/>
              </w:rPr>
              <w:t>Instytucje obliczają wartość zgłaszaną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w:t>
            </w:r>
            <w:r w:rsidRPr="00B817D9">
              <w:rPr>
                <w:rFonts w:ascii="Times New Roman" w:hAnsi="Times New Roman"/>
                <w:sz w:val="24"/>
              </w:rPr>
              <w:t xml:space="preserve"> (ii), dzieląc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{0370;0010} przez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{0300;0010}.</w:t>
            </w:r>
          </w:p>
          <w:p w14:paraId="341458F5" w14:textId="71A3423E" w:rsidR="00136A9C" w:rsidRPr="00B817D9" w:rsidRDefault="00136A9C" w:rsidP="000B66BC">
            <w:pPr>
              <w:pStyle w:val="BodyText1"/>
              <w:spacing w:after="240"/>
              <w:rPr>
                <w:rFonts w:ascii="Times New Roman" w:hAnsi="Times New Roman"/>
                <w:bCs/>
                <w:color w:val="auto"/>
                <w:sz w:val="24"/>
                <w:szCs w:val="24"/>
              </w:rPr>
            </w:pPr>
            <w:r w:rsidRPr="00B817D9">
              <w:rPr>
                <w:rFonts w:ascii="Times New Roman" w:hAnsi="Times New Roman"/>
                <w:color w:val="auto"/>
                <w:sz w:val="24"/>
              </w:rPr>
              <w:t>Globalne instytucje</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zna</w:t>
            </w:r>
            <w:r w:rsidRPr="00B817D9">
              <w:rPr>
                <w:rFonts w:ascii="Times New Roman" w:hAnsi="Times New Roman"/>
                <w:color w:val="auto"/>
                <w:sz w:val="24"/>
              </w:rPr>
              <w:t>czeniu systemowym uwzględniają pkt (ii) jedynie zgodnie ze stanem na dzień zastosowania buforu wynikającego</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roz</w:t>
            </w:r>
            <w:r w:rsidRPr="00B817D9">
              <w:rPr>
                <w:rFonts w:ascii="Times New Roman" w:hAnsi="Times New Roman"/>
                <w:color w:val="auto"/>
                <w:sz w:val="24"/>
              </w:rPr>
              <w:t>porządzenia (UE) nr</w:t>
            </w:r>
            <w:r w:rsidR="00B817D9" w:rsidRPr="00B817D9">
              <w:rPr>
                <w:rFonts w:ascii="Times New Roman" w:hAnsi="Times New Roman"/>
                <w:color w:val="auto"/>
                <w:sz w:val="24"/>
              </w:rPr>
              <w:t> </w:t>
            </w:r>
            <w:r w:rsidRPr="00B817D9">
              <w:rPr>
                <w:rFonts w:ascii="Times New Roman" w:hAnsi="Times New Roman"/>
                <w:color w:val="auto"/>
                <w:sz w:val="24"/>
              </w:rPr>
              <w:t>575/2013.</w:t>
            </w:r>
          </w:p>
          <w:p w14:paraId="0AEE6486" w14:textId="2D781FA9" w:rsidR="00136A9C" w:rsidRPr="00B817D9" w:rsidRDefault="00136A9C" w:rsidP="00B70EBF">
            <w:pPr>
              <w:pStyle w:val="BodyText1"/>
              <w:spacing w:after="240" w:line="240" w:lineRule="auto"/>
              <w:rPr>
                <w:rFonts w:ascii="Times New Roman" w:hAnsi="Times New Roman"/>
                <w:b/>
                <w:color w:val="auto"/>
                <w:sz w:val="24"/>
                <w:szCs w:val="24"/>
              </w:rPr>
            </w:pPr>
            <w:r w:rsidRPr="00B817D9">
              <w:rPr>
                <w:rFonts w:ascii="Times New Roman" w:hAnsi="Times New Roman"/>
                <w:color w:val="auto"/>
                <w:sz w:val="24"/>
              </w:rPr>
              <w:t>Jeżeli żaden narzut globalnej instytucji</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zna</w:t>
            </w:r>
            <w:r w:rsidRPr="00B817D9">
              <w:rPr>
                <w:rFonts w:ascii="Times New Roman" w:hAnsi="Times New Roman"/>
                <w:color w:val="auto"/>
                <w:sz w:val="24"/>
              </w:rPr>
              <w:t>czeniu systemowym nie ma zastosowania, zgłasza się wyłącznie pkt (i).</w:t>
            </w:r>
          </w:p>
        </w:tc>
      </w:tr>
      <w:tr w:rsidR="00E36E71" w:rsidRPr="00B817D9"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B817D9" w:rsidRDefault="00A0709E" w:rsidP="000B66BC">
            <w:pPr>
              <w:pStyle w:val="BodyText1"/>
              <w:spacing w:after="240"/>
              <w:rPr>
                <w:rFonts w:ascii="Times New Roman" w:hAnsi="Times New Roman"/>
                <w:bCs/>
                <w:sz w:val="24"/>
                <w:szCs w:val="24"/>
              </w:rPr>
            </w:pPr>
            <w:r w:rsidRPr="00B817D9">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38D255DA" w:rsidR="00136A9C" w:rsidRPr="00B817D9" w:rsidRDefault="00E36E71" w:rsidP="000B66BC">
            <w:pPr>
              <w:pStyle w:val="BodyText1"/>
              <w:spacing w:after="240" w:line="240" w:lineRule="auto"/>
              <w:rPr>
                <w:rFonts w:ascii="Times New Roman" w:hAnsi="Times New Roman"/>
                <w:bCs/>
                <w:sz w:val="24"/>
                <w:szCs w:val="24"/>
              </w:rPr>
            </w:pPr>
            <w:r w:rsidRPr="00B817D9">
              <w:rPr>
                <w:rFonts w:ascii="Times New Roman" w:hAnsi="Times New Roman"/>
                <w:b/>
                <w:color w:val="auto"/>
                <w:sz w:val="24"/>
              </w:rPr>
              <w:t>Całkowity wymóg dotyczący wskaźnika dźwigni (OLRR)</w:t>
            </w:r>
            <w:r w:rsidR="00B817D9" w:rsidRPr="00B817D9">
              <w:rPr>
                <w:rFonts w:ascii="Times New Roman" w:hAnsi="Times New Roman"/>
                <w:b/>
                <w:color w:val="auto"/>
                <w:sz w:val="24"/>
              </w:rPr>
              <w:t xml:space="preserve"> i</w:t>
            </w:r>
            <w:r w:rsidR="00B817D9">
              <w:rPr>
                <w:rFonts w:ascii="Times New Roman" w:hAnsi="Times New Roman"/>
                <w:b/>
                <w:color w:val="auto"/>
                <w:sz w:val="24"/>
              </w:rPr>
              <w:t> </w:t>
            </w:r>
            <w:r w:rsidR="00B817D9" w:rsidRPr="00B817D9">
              <w:rPr>
                <w:rFonts w:ascii="Times New Roman" w:hAnsi="Times New Roman"/>
                <w:b/>
                <w:color w:val="auto"/>
                <w:sz w:val="24"/>
              </w:rPr>
              <w:t>wsk</w:t>
            </w:r>
            <w:r w:rsidRPr="00B817D9">
              <w:rPr>
                <w:rFonts w:ascii="Times New Roman" w:hAnsi="Times New Roman"/>
                <w:b/>
                <w:color w:val="auto"/>
                <w:sz w:val="24"/>
              </w:rPr>
              <w:t>aźnik na podstawie wytycznych</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ram</w:t>
            </w:r>
            <w:r w:rsidRPr="00B817D9">
              <w:rPr>
                <w:rFonts w:ascii="Times New Roman" w:hAnsi="Times New Roman"/>
                <w:b/>
                <w:color w:val="auto"/>
                <w:sz w:val="24"/>
              </w:rPr>
              <w:t>ach filaru II (P2G)</w:t>
            </w:r>
          </w:p>
          <w:p w14:paraId="022B6350" w14:textId="7060CF19" w:rsidR="00136A9C" w:rsidRPr="00B817D9" w:rsidRDefault="00136A9C"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104b dyrektywy 2013/36/UE</w:t>
            </w:r>
          </w:p>
          <w:p w14:paraId="358F5440" w14:textId="77777777" w:rsidR="00136A9C" w:rsidRPr="00B817D9" w:rsidRDefault="00136A9C" w:rsidP="000B66BC">
            <w:pPr>
              <w:pStyle w:val="BodyText1"/>
              <w:spacing w:after="240" w:line="240" w:lineRule="auto"/>
              <w:rPr>
                <w:rFonts w:ascii="Times New Roman" w:hAnsi="Times New Roman"/>
                <w:bCs/>
                <w:sz w:val="24"/>
                <w:szCs w:val="24"/>
              </w:rPr>
            </w:pPr>
            <w:r w:rsidRPr="00B817D9">
              <w:rPr>
                <w:rFonts w:ascii="Times New Roman" w:hAnsi="Times New Roman"/>
                <w:sz w:val="24"/>
              </w:rPr>
              <w:t>Suma następujących pkt (i) oraz (ii):</w:t>
            </w:r>
          </w:p>
          <w:p w14:paraId="4E42EACA" w14:textId="2F1460DE" w:rsidR="00136A9C" w:rsidRPr="00B817D9" w:rsidRDefault="00136A9C" w:rsidP="000B66BC">
            <w:pPr>
              <w:pStyle w:val="BodyText1"/>
              <w:numPr>
                <w:ilvl w:val="0"/>
                <w:numId w:val="29"/>
              </w:numPr>
              <w:spacing w:after="240" w:line="240" w:lineRule="auto"/>
              <w:rPr>
                <w:rFonts w:ascii="Times New Roman" w:hAnsi="Times New Roman"/>
                <w:color w:val="auto"/>
                <w:sz w:val="24"/>
                <w:szCs w:val="24"/>
              </w:rPr>
            </w:pPr>
            <w:r w:rsidRPr="00B817D9">
              <w:rPr>
                <w:rFonts w:ascii="Times New Roman" w:hAnsi="Times New Roman"/>
                <w:color w:val="auto"/>
                <w:sz w:val="24"/>
              </w:rPr>
              <w:t>OLRR,</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rym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0440;</w:t>
            </w:r>
          </w:p>
          <w:p w14:paraId="51B081D7" w14:textId="51D3AB8E" w:rsidR="00136A9C" w:rsidRPr="00B817D9" w:rsidRDefault="00136A9C" w:rsidP="000B66BC">
            <w:pPr>
              <w:pStyle w:val="BodyText1"/>
              <w:numPr>
                <w:ilvl w:val="0"/>
                <w:numId w:val="29"/>
              </w:numPr>
              <w:spacing w:after="240" w:line="240" w:lineRule="auto"/>
              <w:rPr>
                <w:rFonts w:ascii="Times New Roman" w:hAnsi="Times New Roman"/>
                <w:b/>
                <w:bCs/>
                <w:color w:val="auto"/>
                <w:sz w:val="24"/>
                <w:szCs w:val="24"/>
              </w:rPr>
            </w:pPr>
            <w:r w:rsidRPr="00B817D9">
              <w:rPr>
                <w:rFonts w:ascii="Times New Roman" w:hAnsi="Times New Roman"/>
                <w:color w:val="auto"/>
                <w:sz w:val="24"/>
              </w:rPr>
              <w:lastRenderedPageBreak/>
              <w:t>dodatkowych funduszy własnych,</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rych poinformował właściwy organ, przeznaczonych na przeciwdziałanie ryzyku nadmiernej dźwigni,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art</w:t>
            </w:r>
            <w:r w:rsidRPr="00B817D9">
              <w:rPr>
                <w:rFonts w:ascii="Times New Roman" w:hAnsi="Times New Roman"/>
                <w:color w:val="auto"/>
                <w:sz w:val="24"/>
              </w:rPr>
              <w:t>.</w:t>
            </w:r>
            <w:r w:rsidR="00B817D9" w:rsidRPr="00B817D9">
              <w:rPr>
                <w:rFonts w:ascii="Times New Roman" w:hAnsi="Times New Roman"/>
                <w:color w:val="auto"/>
                <w:sz w:val="24"/>
              </w:rPr>
              <w:t> </w:t>
            </w:r>
            <w:r w:rsidRPr="00B817D9">
              <w:rPr>
                <w:rFonts w:ascii="Times New Roman" w:hAnsi="Times New Roman"/>
                <w:color w:val="auto"/>
                <w:sz w:val="24"/>
              </w:rPr>
              <w:t>104b dyrektywy 2013/36/UE, wyrażonych jako odsetek całkowitej ekspozycji wskaźnika dźwigni.</w:t>
            </w:r>
          </w:p>
          <w:p w14:paraId="1C4745E4" w14:textId="3DDA9AA6" w:rsidR="00B70EBF" w:rsidRPr="00B817D9" w:rsidRDefault="00780634" w:rsidP="00B70EBF">
            <w:pPr>
              <w:pStyle w:val="BodyText1"/>
              <w:spacing w:after="240" w:line="240" w:lineRule="auto"/>
              <w:rPr>
                <w:rFonts w:ascii="Times New Roman" w:hAnsi="Times New Roman"/>
                <w:bCs/>
                <w:color w:val="auto"/>
                <w:sz w:val="24"/>
                <w:szCs w:val="24"/>
              </w:rPr>
            </w:pPr>
            <w:r w:rsidRPr="00B817D9">
              <w:rPr>
                <w:rFonts w:ascii="Times New Roman" w:hAnsi="Times New Roman"/>
                <w:sz w:val="24"/>
              </w:rPr>
              <w:t>Instytucje obliczają wartość zgłaszaną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w:t>
            </w:r>
            <w:r w:rsidRPr="00B817D9">
              <w:rPr>
                <w:rFonts w:ascii="Times New Roman" w:hAnsi="Times New Roman"/>
                <w:sz w:val="24"/>
              </w:rPr>
              <w:t xml:space="preserve"> (ii), dzieląc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{0380;0010} przez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{0300;0010}.</w:t>
            </w:r>
            <w:r w:rsidRPr="00B817D9">
              <w:rPr>
                <w:rFonts w:ascii="Times New Roman" w:hAnsi="Times New Roman"/>
                <w:color w:val="auto"/>
                <w:sz w:val="24"/>
              </w:rPr>
              <w:t xml:space="preserve"> </w:t>
            </w:r>
          </w:p>
          <w:p w14:paraId="6E55E37C" w14:textId="5108C444" w:rsidR="00136A9C" w:rsidRPr="00B817D9" w:rsidRDefault="00B70EBF" w:rsidP="00B70EBF">
            <w:pPr>
              <w:pStyle w:val="BodyText1"/>
              <w:spacing w:after="240" w:line="240" w:lineRule="auto"/>
              <w:rPr>
                <w:rFonts w:ascii="Times New Roman" w:hAnsi="Times New Roman"/>
                <w:b/>
                <w:color w:val="auto"/>
                <w:sz w:val="24"/>
                <w:szCs w:val="24"/>
              </w:rPr>
            </w:pPr>
            <w:r w:rsidRPr="00B817D9">
              <w:rPr>
                <w:rFonts w:ascii="Times New Roman" w:hAnsi="Times New Roman"/>
                <w:color w:val="auto"/>
                <w:sz w:val="24"/>
              </w:rPr>
              <w:t>Jeżeli właściwy organ nie podał P2G, zgłasza się wyłącznie pkt (i).</w:t>
            </w:r>
          </w:p>
        </w:tc>
      </w:tr>
      <w:tr w:rsidR="00E36E71" w:rsidRPr="00B817D9"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B817D9" w:rsidRDefault="009573B2" w:rsidP="000B66BC">
            <w:pPr>
              <w:pStyle w:val="BodyText1"/>
              <w:spacing w:after="240"/>
              <w:rPr>
                <w:rFonts w:ascii="Times New Roman" w:hAnsi="Times New Roman"/>
                <w:bCs/>
                <w:sz w:val="24"/>
                <w:szCs w:val="24"/>
              </w:rPr>
            </w:pPr>
            <w:r w:rsidRPr="00B817D9">
              <w:rPr>
                <w:rFonts w:ascii="Times New Roman" w:hAnsi="Times New Roman"/>
                <w:sz w:val="24"/>
              </w:rPr>
              <w:lastRenderedPageBreak/>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736BB47B" w:rsidR="00E36E71" w:rsidRPr="00B817D9" w:rsidRDefault="001D36C8"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OLRR i P2G: składające się</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kap</w:t>
            </w:r>
            <w:r w:rsidRPr="00B817D9">
              <w:rPr>
                <w:rFonts w:ascii="Times New Roman" w:hAnsi="Times New Roman"/>
                <w:b/>
                <w:color w:val="auto"/>
                <w:sz w:val="24"/>
              </w:rPr>
              <w:t>itału podstawowego Tier I</w:t>
            </w:r>
          </w:p>
          <w:p w14:paraId="76E51CBF" w14:textId="77777777" w:rsidR="00136A9C" w:rsidRPr="00B817D9" w:rsidRDefault="00136A9C" w:rsidP="000B66BC">
            <w:pPr>
              <w:pStyle w:val="BodyText1"/>
              <w:spacing w:after="240" w:line="240" w:lineRule="auto"/>
              <w:rPr>
                <w:rFonts w:ascii="Times New Roman" w:hAnsi="Times New Roman"/>
                <w:color w:val="auto"/>
                <w:sz w:val="24"/>
                <w:szCs w:val="24"/>
              </w:rPr>
            </w:pPr>
            <w:r w:rsidRPr="00B817D9">
              <w:rPr>
                <w:rFonts w:ascii="Times New Roman" w:hAnsi="Times New Roman"/>
                <w:color w:val="auto"/>
                <w:sz w:val="24"/>
              </w:rPr>
              <w:t>Suma następujących pkt (i) oraz (ii):</w:t>
            </w:r>
          </w:p>
          <w:p w14:paraId="4E8CC957" w14:textId="19B99452" w:rsidR="00136A9C" w:rsidRPr="00B817D9" w:rsidRDefault="00136A9C" w:rsidP="000B66BC">
            <w:pPr>
              <w:pStyle w:val="BodyText1"/>
              <w:numPr>
                <w:ilvl w:val="0"/>
                <w:numId w:val="30"/>
              </w:numPr>
              <w:spacing w:after="240" w:line="240" w:lineRule="auto"/>
              <w:rPr>
                <w:rFonts w:ascii="Times New Roman" w:hAnsi="Times New Roman"/>
                <w:color w:val="auto"/>
                <w:sz w:val="24"/>
                <w:szCs w:val="24"/>
              </w:rPr>
            </w:pPr>
            <w:r w:rsidRPr="00B817D9">
              <w:rPr>
                <w:rFonts w:ascii="Times New Roman" w:hAnsi="Times New Roman"/>
                <w:color w:val="auto"/>
                <w:sz w:val="24"/>
              </w:rPr>
              <w:t>części wskaźnika dodatkowych funduszy własnych, którą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wym</w:t>
            </w:r>
            <w:r w:rsidRPr="00B817D9">
              <w:rPr>
                <w:rFonts w:ascii="Times New Roman" w:hAnsi="Times New Roman"/>
                <w:color w:val="auto"/>
                <w:sz w:val="24"/>
              </w:rPr>
              <w:t>ogami właściwego organu należy utrzymywać</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for</w:t>
            </w:r>
            <w:r w:rsidRPr="00B817D9">
              <w:rPr>
                <w:rFonts w:ascii="Times New Roman" w:hAnsi="Times New Roman"/>
                <w:color w:val="auto"/>
                <w:sz w:val="24"/>
              </w:rPr>
              <w:t>mie kapitału podstawowego Tier I,</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rym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0430;</w:t>
            </w:r>
          </w:p>
          <w:p w14:paraId="611A5895" w14:textId="3B220ACB" w:rsidR="00136A9C" w:rsidRPr="00B817D9" w:rsidRDefault="00136A9C" w:rsidP="000B66BC">
            <w:pPr>
              <w:pStyle w:val="BodyText1"/>
              <w:numPr>
                <w:ilvl w:val="0"/>
                <w:numId w:val="30"/>
              </w:numPr>
              <w:spacing w:after="240" w:line="240" w:lineRule="auto"/>
              <w:rPr>
                <w:rFonts w:ascii="Times New Roman" w:hAnsi="Times New Roman"/>
                <w:color w:val="auto"/>
                <w:sz w:val="24"/>
                <w:szCs w:val="24"/>
              </w:rPr>
            </w:pPr>
            <w:r w:rsidRPr="00B817D9">
              <w:rPr>
                <w:rFonts w:ascii="Times New Roman" w:hAnsi="Times New Roman"/>
                <w:color w:val="auto"/>
                <w:sz w:val="24"/>
              </w:rPr>
              <w:t>części współczynnika P2G,</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rym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0450 pkt (ii), którą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inf</w:t>
            </w:r>
            <w:r w:rsidRPr="00B817D9">
              <w:rPr>
                <w:rFonts w:ascii="Times New Roman" w:hAnsi="Times New Roman"/>
                <w:color w:val="auto"/>
                <w:sz w:val="24"/>
              </w:rPr>
              <w:t>ormacjami przekazanymi przez właściwy organ należy utrzymywać</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pos</w:t>
            </w:r>
            <w:r w:rsidRPr="00B817D9">
              <w:rPr>
                <w:rFonts w:ascii="Times New Roman" w:hAnsi="Times New Roman"/>
                <w:color w:val="auto"/>
                <w:sz w:val="24"/>
              </w:rPr>
              <w:t>taci kapitału podstawowego Tier I.</w:t>
            </w:r>
          </w:p>
          <w:p w14:paraId="30A327FA" w14:textId="76A4524C" w:rsidR="003E3C45" w:rsidRPr="00B817D9" w:rsidRDefault="00780634" w:rsidP="003E3C45">
            <w:pPr>
              <w:pStyle w:val="BodyText1"/>
              <w:spacing w:after="240" w:line="240" w:lineRule="auto"/>
              <w:rPr>
                <w:rFonts w:ascii="Times New Roman" w:hAnsi="Times New Roman"/>
                <w:color w:val="auto"/>
                <w:sz w:val="24"/>
                <w:szCs w:val="24"/>
              </w:rPr>
            </w:pPr>
            <w:r w:rsidRPr="00B817D9">
              <w:rPr>
                <w:rFonts w:ascii="Times New Roman" w:hAnsi="Times New Roman"/>
                <w:sz w:val="24"/>
              </w:rPr>
              <w:t>Instytucje obliczają wartość zgłaszaną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w:t>
            </w:r>
            <w:r w:rsidRPr="00B817D9">
              <w:rPr>
                <w:rFonts w:ascii="Times New Roman" w:hAnsi="Times New Roman"/>
                <w:sz w:val="24"/>
              </w:rPr>
              <w:t xml:space="preserve"> (ii), dzieląc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{0390;0010} przez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{0300;0010}.</w:t>
            </w:r>
            <w:r w:rsidRPr="00B817D9">
              <w:rPr>
                <w:rFonts w:ascii="Times New Roman" w:hAnsi="Times New Roman"/>
                <w:color w:val="auto"/>
                <w:sz w:val="24"/>
              </w:rPr>
              <w:t xml:space="preserve"> </w:t>
            </w:r>
          </w:p>
          <w:p w14:paraId="32685844" w14:textId="531CB8FD" w:rsidR="00E36E71" w:rsidRPr="00B817D9" w:rsidRDefault="003E3C45" w:rsidP="003E3C45">
            <w:pPr>
              <w:pStyle w:val="BodyText1"/>
              <w:spacing w:after="240" w:line="240" w:lineRule="auto"/>
              <w:rPr>
                <w:rFonts w:ascii="Times New Roman" w:hAnsi="Times New Roman"/>
                <w:b/>
                <w:color w:val="auto"/>
                <w:sz w:val="24"/>
                <w:szCs w:val="24"/>
              </w:rPr>
            </w:pPr>
            <w:r w:rsidRPr="00B817D9">
              <w:rPr>
                <w:rFonts w:ascii="Times New Roman" w:hAnsi="Times New Roman"/>
                <w:color w:val="auto"/>
                <w:sz w:val="24"/>
              </w:rPr>
              <w:t>Jeżeli właściwy organ nie podał P2G, zgłasza się wyłącznie pkt (i).</w:t>
            </w:r>
          </w:p>
        </w:tc>
      </w:tr>
      <w:tr w:rsidR="00E36E71" w:rsidRPr="00B817D9"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B817D9" w:rsidRDefault="00A0709E" w:rsidP="000B66BC">
            <w:pPr>
              <w:pStyle w:val="BodyText1"/>
              <w:spacing w:after="240"/>
              <w:rPr>
                <w:rFonts w:ascii="Times New Roman" w:hAnsi="Times New Roman"/>
                <w:bCs/>
                <w:sz w:val="24"/>
                <w:szCs w:val="24"/>
              </w:rPr>
            </w:pPr>
            <w:r w:rsidRPr="00B817D9">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05138FFB" w:rsidR="00E36E71" w:rsidRPr="00B817D9" w:rsidRDefault="001D36C8"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OLRR i P2G: składające się</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kap</w:t>
            </w:r>
            <w:r w:rsidRPr="00B817D9">
              <w:rPr>
                <w:rFonts w:ascii="Times New Roman" w:hAnsi="Times New Roman"/>
                <w:b/>
                <w:color w:val="auto"/>
                <w:sz w:val="24"/>
              </w:rPr>
              <w:t>itału Tier I</w:t>
            </w:r>
          </w:p>
          <w:p w14:paraId="7E7156A9" w14:textId="787E9B54" w:rsidR="00136A9C" w:rsidRPr="00B817D9" w:rsidRDefault="00136A9C" w:rsidP="000B66BC">
            <w:pPr>
              <w:pStyle w:val="BodyText1"/>
              <w:spacing w:after="240" w:line="240" w:lineRule="auto"/>
              <w:rPr>
                <w:rFonts w:ascii="Times New Roman" w:hAnsi="Times New Roman"/>
                <w:color w:val="auto"/>
                <w:sz w:val="24"/>
                <w:szCs w:val="24"/>
              </w:rPr>
            </w:pPr>
            <w:r w:rsidRPr="00B817D9">
              <w:rPr>
                <w:rFonts w:ascii="Times New Roman" w:hAnsi="Times New Roman"/>
                <w:color w:val="auto"/>
                <w:sz w:val="24"/>
              </w:rPr>
              <w:t>Suma następujących pkt (i), (ii) oraz (iii):</w:t>
            </w:r>
          </w:p>
          <w:p w14:paraId="5D168708" w14:textId="72F062ED" w:rsidR="00136A9C" w:rsidRPr="00B817D9" w:rsidRDefault="00843D9B" w:rsidP="000B66BC">
            <w:pPr>
              <w:pStyle w:val="BodyText1"/>
              <w:numPr>
                <w:ilvl w:val="0"/>
                <w:numId w:val="32"/>
              </w:numPr>
              <w:spacing w:after="240" w:line="240" w:lineRule="auto"/>
              <w:rPr>
                <w:rFonts w:ascii="Times New Roman" w:hAnsi="Times New Roman"/>
                <w:color w:val="auto"/>
                <w:sz w:val="24"/>
                <w:szCs w:val="24"/>
              </w:rPr>
            </w:pPr>
            <w:r w:rsidRPr="00B817D9">
              <w:rPr>
                <w:rFonts w:ascii="Times New Roman" w:hAnsi="Times New Roman"/>
                <w:color w:val="auto"/>
                <w:sz w:val="24"/>
              </w:rPr>
              <w:t>wymogu SREP dotyczącego łącznego wskaźnika dźwigni,</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rym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0420;</w:t>
            </w:r>
          </w:p>
          <w:p w14:paraId="44471EA4" w14:textId="10258BBB" w:rsidR="00843D9B" w:rsidRPr="00B817D9" w:rsidRDefault="00843D9B" w:rsidP="000B66BC">
            <w:pPr>
              <w:pStyle w:val="ListParagraph"/>
              <w:numPr>
                <w:ilvl w:val="0"/>
                <w:numId w:val="32"/>
              </w:numPr>
              <w:spacing w:after="240"/>
              <w:rPr>
                <w:rFonts w:ascii="Times New Roman" w:hAnsi="Times New Roman"/>
                <w:sz w:val="24"/>
              </w:rPr>
            </w:pPr>
            <w:r w:rsidRPr="00B817D9">
              <w:rPr>
                <w:rFonts w:ascii="Times New Roman" w:hAnsi="Times New Roman"/>
                <w:sz w:val="24"/>
              </w:rPr>
              <w:t>bufora wskaźnika dźwigni globalnej instytucji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zna</w:t>
            </w:r>
            <w:r w:rsidRPr="00B817D9">
              <w:rPr>
                <w:rFonts w:ascii="Times New Roman" w:hAnsi="Times New Roman"/>
                <w:sz w:val="24"/>
              </w:rPr>
              <w:t>czeniu systemowym,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92 ust.</w:t>
            </w:r>
            <w:r w:rsidR="00B817D9" w:rsidRPr="00B817D9">
              <w:rPr>
                <w:rFonts w:ascii="Times New Roman" w:hAnsi="Times New Roman"/>
                <w:sz w:val="24"/>
              </w:rPr>
              <w:t> </w:t>
            </w:r>
            <w:r w:rsidRPr="00B817D9">
              <w:rPr>
                <w:rFonts w:ascii="Times New Roman" w:hAnsi="Times New Roman"/>
                <w:sz w:val="24"/>
              </w:rPr>
              <w:t>1a) rozporządzenia (UE) nr</w:t>
            </w:r>
            <w:r w:rsidR="00B817D9" w:rsidRPr="00B817D9">
              <w:rPr>
                <w:rFonts w:ascii="Times New Roman" w:hAnsi="Times New Roman"/>
                <w:sz w:val="24"/>
              </w:rPr>
              <w:t> </w:t>
            </w:r>
            <w:r w:rsidRPr="00B817D9">
              <w:rPr>
                <w:rFonts w:ascii="Times New Roman" w:hAnsi="Times New Roman"/>
                <w:sz w:val="24"/>
              </w:rPr>
              <w:t>575/2013, wyrażonego jako odsetek całkowitej ekspozycji wskaźnika dźwigni;</w:t>
            </w:r>
          </w:p>
          <w:p w14:paraId="776F4028" w14:textId="023B1268" w:rsidR="00136A9C" w:rsidRPr="00B817D9" w:rsidRDefault="00136A9C" w:rsidP="000B66BC">
            <w:pPr>
              <w:pStyle w:val="BodyText1"/>
              <w:numPr>
                <w:ilvl w:val="0"/>
                <w:numId w:val="32"/>
              </w:numPr>
              <w:spacing w:after="240" w:line="240" w:lineRule="auto"/>
              <w:rPr>
                <w:rFonts w:ascii="Times New Roman" w:hAnsi="Times New Roman"/>
                <w:color w:val="auto"/>
                <w:sz w:val="24"/>
                <w:szCs w:val="24"/>
              </w:rPr>
            </w:pPr>
            <w:r w:rsidRPr="00B817D9">
              <w:rPr>
                <w:rFonts w:ascii="Times New Roman" w:hAnsi="Times New Roman"/>
                <w:color w:val="auto"/>
                <w:sz w:val="24"/>
              </w:rPr>
              <w:t>części współczynnika P2G,</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rym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rszu 0450 pkt (ii), którą zgodnie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wym</w:t>
            </w:r>
            <w:r w:rsidRPr="00B817D9">
              <w:rPr>
                <w:rFonts w:ascii="Times New Roman" w:hAnsi="Times New Roman"/>
                <w:color w:val="auto"/>
                <w:sz w:val="24"/>
              </w:rPr>
              <w:t>ogami właściwego organu należy utrzymywać</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pos</w:t>
            </w:r>
            <w:r w:rsidRPr="00B817D9">
              <w:rPr>
                <w:rFonts w:ascii="Times New Roman" w:hAnsi="Times New Roman"/>
                <w:color w:val="auto"/>
                <w:sz w:val="24"/>
              </w:rPr>
              <w:t>taci kapitału Tier I.</w:t>
            </w:r>
          </w:p>
          <w:p w14:paraId="26F19755" w14:textId="03D2285A" w:rsidR="003E3C45" w:rsidRPr="00B817D9" w:rsidRDefault="003E3C45" w:rsidP="003E3C45">
            <w:pPr>
              <w:pStyle w:val="BodyText1"/>
              <w:spacing w:after="240" w:line="240" w:lineRule="auto"/>
              <w:rPr>
                <w:rFonts w:ascii="Times New Roman" w:hAnsi="Times New Roman"/>
                <w:color w:val="auto"/>
                <w:sz w:val="24"/>
                <w:szCs w:val="24"/>
              </w:rPr>
            </w:pPr>
            <w:r w:rsidRPr="00B817D9">
              <w:rPr>
                <w:rFonts w:ascii="Times New Roman" w:hAnsi="Times New Roman"/>
                <w:sz w:val="24"/>
              </w:rPr>
              <w:t>Instytucje obliczają wartość zgłaszaną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w:t>
            </w:r>
            <w:r w:rsidRPr="00B817D9">
              <w:rPr>
                <w:rFonts w:ascii="Times New Roman" w:hAnsi="Times New Roman"/>
                <w:sz w:val="24"/>
              </w:rPr>
              <w:t xml:space="preserve"> (ii), dzieląc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{0370;0010} przez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{0300;0010}.</w:t>
            </w:r>
          </w:p>
          <w:p w14:paraId="2313052B" w14:textId="2DFC8189" w:rsidR="003E3C45" w:rsidRPr="00B817D9" w:rsidRDefault="003E3C45" w:rsidP="003E3C45">
            <w:pPr>
              <w:pStyle w:val="BodyText1"/>
              <w:spacing w:after="240" w:line="240" w:lineRule="auto"/>
              <w:rPr>
                <w:rFonts w:ascii="Times New Roman" w:hAnsi="Times New Roman"/>
                <w:bCs/>
                <w:sz w:val="24"/>
                <w:szCs w:val="24"/>
              </w:rPr>
            </w:pPr>
            <w:r w:rsidRPr="00B817D9">
              <w:rPr>
                <w:rFonts w:ascii="Times New Roman" w:hAnsi="Times New Roman"/>
                <w:sz w:val="24"/>
              </w:rPr>
              <w:t>Instytucje obliczają wartość zgłaszaną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pkt</w:t>
            </w:r>
            <w:r w:rsidRPr="00B817D9">
              <w:rPr>
                <w:rFonts w:ascii="Times New Roman" w:hAnsi="Times New Roman"/>
                <w:sz w:val="24"/>
              </w:rPr>
              <w:t xml:space="preserve"> (iii), dzieląc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{0400;0010} przez wartość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órki {0300;0010}.</w:t>
            </w:r>
          </w:p>
          <w:p w14:paraId="6BF7BD0F" w14:textId="1CFAB642" w:rsidR="00843D9B" w:rsidRPr="00B817D9" w:rsidRDefault="00843D9B" w:rsidP="003E3C45">
            <w:pPr>
              <w:pStyle w:val="BodyText1"/>
              <w:spacing w:after="240" w:line="240" w:lineRule="auto"/>
              <w:rPr>
                <w:rFonts w:ascii="Times New Roman" w:hAnsi="Times New Roman"/>
                <w:bCs/>
                <w:color w:val="auto"/>
                <w:sz w:val="24"/>
                <w:szCs w:val="24"/>
              </w:rPr>
            </w:pPr>
            <w:r w:rsidRPr="00B817D9">
              <w:rPr>
                <w:rFonts w:ascii="Times New Roman" w:hAnsi="Times New Roman"/>
                <w:color w:val="auto"/>
                <w:sz w:val="24"/>
              </w:rPr>
              <w:lastRenderedPageBreak/>
              <w:t>Jeżeli żaden narzut dla globalnej instytucji</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zna</w:t>
            </w:r>
            <w:r w:rsidRPr="00B817D9">
              <w:rPr>
                <w:rFonts w:ascii="Times New Roman" w:hAnsi="Times New Roman"/>
                <w:color w:val="auto"/>
                <w:sz w:val="24"/>
              </w:rPr>
              <w:t>czeniu systemowym nie ma zastosowania, zgłasza się wyłącznie pkt (i) i (iii).</w:t>
            </w:r>
          </w:p>
          <w:p w14:paraId="784A7DD8" w14:textId="6852D82B" w:rsidR="00E36E71" w:rsidRPr="00B817D9" w:rsidRDefault="00136A9C" w:rsidP="003E3C45">
            <w:pPr>
              <w:pStyle w:val="BodyText1"/>
              <w:spacing w:after="240" w:line="240" w:lineRule="auto"/>
              <w:rPr>
                <w:rFonts w:ascii="Times New Roman" w:hAnsi="Times New Roman"/>
                <w:b/>
                <w:color w:val="auto"/>
                <w:sz w:val="24"/>
                <w:szCs w:val="24"/>
              </w:rPr>
            </w:pPr>
            <w:r w:rsidRPr="00B817D9">
              <w:rPr>
                <w:rFonts w:ascii="Times New Roman" w:hAnsi="Times New Roman"/>
                <w:color w:val="auto"/>
                <w:sz w:val="24"/>
              </w:rPr>
              <w:t>Jeżeli właściwy organ nie podał P2G, zgłasza się wyłącznie pkt (i) i (ii).</w:t>
            </w:r>
          </w:p>
        </w:tc>
      </w:tr>
      <w:tr w:rsidR="00E524FC" w:rsidRPr="00B817D9"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791C7C3E" w:rsidR="00E524FC" w:rsidRPr="00B817D9" w:rsidRDefault="00E524FC" w:rsidP="000B66BC">
            <w:pPr>
              <w:pStyle w:val="BodyText1"/>
              <w:spacing w:after="240"/>
              <w:rPr>
                <w:rFonts w:ascii="Times New Roman" w:hAnsi="Times New Roman"/>
                <w:bCs/>
                <w:sz w:val="24"/>
                <w:szCs w:val="24"/>
              </w:rPr>
            </w:pPr>
            <w:r w:rsidRPr="00B817D9">
              <w:rPr>
                <w:rFonts w:ascii="Times New Roman" w:hAnsi="Times New Roman"/>
                <w:b/>
                <w:sz w:val="24"/>
              </w:rPr>
              <w:lastRenderedPageBreak/>
              <w:t>Wiersz</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kol</w:t>
            </w:r>
            <w:r w:rsidRPr="00B817D9">
              <w:rPr>
                <w:rFonts w:ascii="Times New Roman" w:hAnsi="Times New Roman"/>
                <w:b/>
                <w:sz w:val="24"/>
              </w:rPr>
              <w:t>umna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B817D9" w:rsidRDefault="00E524FC"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Pozycje uzupełniające</w:t>
            </w:r>
          </w:p>
        </w:tc>
      </w:tr>
      <w:tr w:rsidR="00E524FC" w:rsidRPr="00B817D9"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B817D9"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6B2FF171" w:rsidR="00E524FC" w:rsidRPr="00B817D9" w:rsidRDefault="009339A2" w:rsidP="000B66BC">
            <w:pPr>
              <w:pStyle w:val="BodyText1"/>
              <w:spacing w:after="240" w:line="240" w:lineRule="auto"/>
              <w:rPr>
                <w:rFonts w:ascii="Times New Roman" w:hAnsi="Times New Roman"/>
                <w:b/>
                <w:color w:val="auto"/>
                <w:sz w:val="24"/>
                <w:szCs w:val="24"/>
              </w:rPr>
            </w:pPr>
            <w:r w:rsidRPr="00B817D9">
              <w:rPr>
                <w:rFonts w:ascii="Times New Roman" w:hAnsi="Times New Roman"/>
                <w:sz w:val="24"/>
              </w:rPr>
              <w:t xml:space="preserve"> Rozporządzenie (UE) nr</w:t>
            </w:r>
            <w:r w:rsidR="00B817D9" w:rsidRPr="00B817D9">
              <w:rPr>
                <w:rFonts w:ascii="Times New Roman" w:hAnsi="Times New Roman"/>
                <w:sz w:val="24"/>
              </w:rPr>
              <w:t> </w:t>
            </w:r>
            <w:r w:rsidRPr="00B817D9">
              <w:rPr>
                <w:rFonts w:ascii="Times New Roman" w:hAnsi="Times New Roman"/>
                <w:sz w:val="24"/>
              </w:rPr>
              <w:t>575/2013</w:t>
            </w:r>
            <w:r w:rsidRPr="00B817D9">
              <w:rPr>
                <w:rFonts w:ascii="Times New Roman" w:hAnsi="Times New Roman"/>
                <w:color w:val="auto"/>
                <w:sz w:val="24"/>
              </w:rPr>
              <w:t xml:space="preserve"> </w:t>
            </w:r>
          </w:p>
        </w:tc>
      </w:tr>
      <w:tr w:rsidR="00E524FC" w:rsidRPr="00B817D9"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B817D9" w:rsidRDefault="00E524FC" w:rsidP="000B66BC">
            <w:pPr>
              <w:pStyle w:val="BodyText1"/>
              <w:spacing w:after="240"/>
              <w:rPr>
                <w:rFonts w:ascii="Times New Roman" w:hAnsi="Times New Roman"/>
                <w:bCs/>
                <w:sz w:val="24"/>
                <w:szCs w:val="24"/>
              </w:rPr>
            </w:pPr>
            <w:r w:rsidRPr="00B817D9">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E5079AE" w:rsidR="00E524FC" w:rsidRPr="00B817D9" w:rsidRDefault="00E524FC"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Wskaźnik dźwigni</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prz</w:t>
            </w:r>
            <w:r w:rsidRPr="00B817D9">
              <w:rPr>
                <w:rFonts w:ascii="Times New Roman" w:hAnsi="Times New Roman"/>
                <w:b/>
                <w:color w:val="auto"/>
                <w:sz w:val="24"/>
              </w:rPr>
              <w:t>ypadku niestosowania tymczasowego traktowania niezrealizowanych zysków</w:t>
            </w:r>
            <w:r w:rsidR="00B817D9" w:rsidRPr="00B817D9">
              <w:rPr>
                <w:rFonts w:ascii="Times New Roman" w:hAnsi="Times New Roman"/>
                <w:b/>
                <w:color w:val="auto"/>
                <w:sz w:val="24"/>
              </w:rPr>
              <w:t xml:space="preserve"> i</w:t>
            </w:r>
            <w:r w:rsidR="00B817D9">
              <w:rPr>
                <w:rFonts w:ascii="Times New Roman" w:hAnsi="Times New Roman"/>
                <w:b/>
                <w:color w:val="auto"/>
                <w:sz w:val="24"/>
              </w:rPr>
              <w:t> </w:t>
            </w:r>
            <w:r w:rsidR="00B817D9" w:rsidRPr="00B817D9">
              <w:rPr>
                <w:rFonts w:ascii="Times New Roman" w:hAnsi="Times New Roman"/>
                <w:b/>
                <w:color w:val="auto"/>
                <w:sz w:val="24"/>
              </w:rPr>
              <w:t>str</w:t>
            </w:r>
            <w:r w:rsidRPr="00B817D9">
              <w:rPr>
                <w:rFonts w:ascii="Times New Roman" w:hAnsi="Times New Roman"/>
                <w:b/>
                <w:color w:val="auto"/>
                <w:sz w:val="24"/>
              </w:rPr>
              <w:t>at wycenianych według wartości godziwej przez inne całkowite dochody</w:t>
            </w:r>
          </w:p>
          <w:p w14:paraId="22FC70A7" w14:textId="48AF4A80" w:rsidR="00E524FC" w:rsidRPr="00B817D9" w:rsidRDefault="00E524FC" w:rsidP="000B66BC">
            <w:pPr>
              <w:pStyle w:val="BodyText1"/>
              <w:spacing w:after="240" w:line="240" w:lineRule="auto"/>
              <w:rPr>
                <w:rFonts w:ascii="Times New Roman" w:hAnsi="Times New Roman"/>
                <w:color w:val="auto"/>
                <w:sz w:val="24"/>
                <w:szCs w:val="24"/>
              </w:rPr>
            </w:pPr>
            <w:r w:rsidRPr="00B817D9">
              <w:rPr>
                <w:rFonts w:ascii="Times New Roman" w:hAnsi="Times New Roman"/>
                <w:sz w:val="24"/>
              </w:rPr>
              <w:t>Art. 468 ust.</w:t>
            </w:r>
            <w:r w:rsidR="00B817D9" w:rsidRPr="00B817D9">
              <w:rPr>
                <w:rFonts w:ascii="Times New Roman" w:hAnsi="Times New Roman"/>
                <w:sz w:val="24"/>
              </w:rPr>
              <w:t> </w:t>
            </w:r>
            <w:r w:rsidRPr="00B817D9">
              <w:rPr>
                <w:rFonts w:ascii="Times New Roman" w:hAnsi="Times New Roman"/>
                <w:sz w:val="24"/>
              </w:rPr>
              <w:t>5 rozporządzenia (UE) nr</w:t>
            </w:r>
            <w:r w:rsidR="00B817D9" w:rsidRPr="00B817D9">
              <w:rPr>
                <w:rFonts w:ascii="Times New Roman" w:hAnsi="Times New Roman"/>
                <w:sz w:val="24"/>
              </w:rPr>
              <w:t> </w:t>
            </w:r>
            <w:r w:rsidRPr="00B817D9">
              <w:rPr>
                <w:rFonts w:ascii="Times New Roman" w:hAnsi="Times New Roman"/>
                <w:sz w:val="24"/>
              </w:rPr>
              <w:t>575/2013</w:t>
            </w:r>
          </w:p>
          <w:p w14:paraId="787A9CC8" w14:textId="765F1CEF" w:rsidR="00E524FC" w:rsidRPr="00B817D9" w:rsidRDefault="00E524FC" w:rsidP="000B66BC">
            <w:pPr>
              <w:pStyle w:val="BodyText1"/>
              <w:spacing w:after="240" w:line="240" w:lineRule="auto"/>
              <w:rPr>
                <w:rFonts w:ascii="Times New Roman" w:hAnsi="Times New Roman"/>
                <w:b/>
                <w:color w:val="auto"/>
                <w:sz w:val="24"/>
                <w:szCs w:val="24"/>
              </w:rPr>
            </w:pPr>
            <w:r w:rsidRPr="00B817D9">
              <w:rPr>
                <w:rFonts w:ascii="Times New Roman" w:hAnsi="Times New Roman"/>
                <w:sz w:val="24"/>
              </w:rPr>
              <w:t>Instytucje, które zdecydowały się stosować tymczasowe traktowanie określone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468 ust.</w:t>
            </w:r>
            <w:r w:rsidR="00B817D9" w:rsidRPr="00B817D9">
              <w:rPr>
                <w:rFonts w:ascii="Times New Roman" w:hAnsi="Times New Roman"/>
                <w:sz w:val="24"/>
              </w:rPr>
              <w:t> </w:t>
            </w:r>
            <w:r w:rsidRPr="00B817D9">
              <w:rPr>
                <w:rFonts w:ascii="Times New Roman" w:hAnsi="Times New Roman"/>
                <w:sz w:val="24"/>
              </w:rPr>
              <w:t>1 rozporządzenia (UE) nr</w:t>
            </w:r>
            <w:r w:rsidR="00B817D9" w:rsidRPr="00B817D9">
              <w:rPr>
                <w:rFonts w:ascii="Times New Roman" w:hAnsi="Times New Roman"/>
                <w:sz w:val="24"/>
              </w:rPr>
              <w:t> </w:t>
            </w:r>
            <w:r w:rsidRPr="00B817D9">
              <w:rPr>
                <w:rFonts w:ascii="Times New Roman" w:hAnsi="Times New Roman"/>
                <w:sz w:val="24"/>
              </w:rPr>
              <w:t>575/2013, zgłaszają wskaźnik dźwigni, który miałyby</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niestosowania tego traktowania.</w:t>
            </w:r>
          </w:p>
        </w:tc>
      </w:tr>
    </w:tbl>
    <w:p w14:paraId="6B40D8E2" w14:textId="77777777" w:rsidR="00AE2798" w:rsidRPr="00B817D9" w:rsidRDefault="00AE2798" w:rsidP="000B66BC">
      <w:pPr>
        <w:pStyle w:val="BodyText1"/>
        <w:spacing w:after="240"/>
        <w:rPr>
          <w:rFonts w:ascii="Times New Roman" w:hAnsi="Times New Roman"/>
          <w:sz w:val="24"/>
          <w:szCs w:val="24"/>
        </w:rPr>
      </w:pPr>
    </w:p>
    <w:p w14:paraId="794CE395" w14:textId="173F43D2" w:rsidR="00700DA6" w:rsidRPr="00B817D9"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604485"/>
      <w:r w:rsidRPr="00B817D9">
        <w:rPr>
          <w:rFonts w:ascii="Times New Roman" w:hAnsi="Times New Roman"/>
          <w:b/>
          <w:sz w:val="24"/>
        </w:rPr>
        <w:t>4.</w:t>
      </w:r>
      <w:r w:rsidRPr="00B817D9">
        <w:tab/>
      </w:r>
      <w:r w:rsidRPr="00B817D9">
        <w:rPr>
          <w:rFonts w:ascii="Times New Roman" w:hAnsi="Times New Roman"/>
          <w:b/>
          <w:sz w:val="24"/>
        </w:rPr>
        <w:t xml:space="preserve">C 40.00 – Podejście alternatywne do miary ekspozycji </w:t>
      </w:r>
      <w:bookmarkEnd w:id="51"/>
      <w:bookmarkEnd w:id="53"/>
      <w:bookmarkEnd w:id="54"/>
      <w:r w:rsidRPr="00B817D9">
        <w:rPr>
          <w:rFonts w:ascii="Times New Roman" w:hAnsi="Times New Roman"/>
          <w:b/>
          <w:sz w:val="24"/>
        </w:rPr>
        <w:t>(LR1)</w:t>
      </w:r>
      <w:bookmarkEnd w:id="55"/>
      <w:bookmarkEnd w:id="56"/>
    </w:p>
    <w:p w14:paraId="0FB337CA" w14:textId="47825928" w:rsidR="00F4754B" w:rsidRPr="00B817D9" w:rsidRDefault="00500508"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20.</w:t>
      </w:r>
      <w:r w:rsidRPr="00B817D9">
        <w:tab/>
      </w:r>
      <w:r w:rsidRPr="00B817D9">
        <w:rPr>
          <w:rFonts w:ascii="Times New Roman" w:hAnsi="Times New Roman"/>
          <w:sz w:val="24"/>
        </w:rPr>
        <w:t xml:space="preserve">W tej części sprawozdawczości gromadzone są informacje na temat podejścia alternatywnego do instrumentów pochodnych, SFT, pozycji pozabilansowych, wyłączonych inwestycji sektora publicznego oraz wyłączonych ekspozycji na kredyty preferencyjne. </w:t>
      </w:r>
    </w:p>
    <w:p w14:paraId="0801E40E" w14:textId="45CCD848" w:rsidR="00F4754B" w:rsidRPr="00B817D9" w:rsidRDefault="00500508"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21.</w:t>
      </w:r>
      <w:r w:rsidRPr="00B817D9">
        <w:tab/>
      </w:r>
      <w:r w:rsidRPr="00B817D9">
        <w:rPr>
          <w:rFonts w:ascii="Times New Roman" w:hAnsi="Times New Roman"/>
          <w:sz w:val="24"/>
        </w:rPr>
        <w:t>Instytucje określają „księgowe wartości bilansowe” w LR1</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opa</w:t>
      </w:r>
      <w:r w:rsidRPr="00B817D9">
        <w:rPr>
          <w:rFonts w:ascii="Times New Roman" w:hAnsi="Times New Roman"/>
          <w:sz w:val="24"/>
        </w:rPr>
        <w:t>rciu</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ące zastosowanie standardy rachunkowości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77 rozporządzenia (UE) nr</w:t>
      </w:r>
      <w:r w:rsidR="00B817D9" w:rsidRPr="00B817D9">
        <w:rPr>
          <w:rFonts w:ascii="Times New Roman" w:hAnsi="Times New Roman"/>
          <w:sz w:val="24"/>
        </w:rPr>
        <w:t> </w:t>
      </w:r>
      <w:r w:rsidRPr="00B817D9">
        <w:rPr>
          <w:rFonts w:ascii="Times New Roman" w:hAnsi="Times New Roman"/>
          <w:sz w:val="24"/>
        </w:rPr>
        <w:t xml:space="preserve">575/2013. „Wartość księgowa przy założeniu niestosowania kompensowania ani innego CRM” odnosi się do księgowej wartości bilansowej, która nie uwzględnia żadnych efektów kompensowania lub innego ograniczenia ryzyka kredytowego. </w:t>
      </w:r>
    </w:p>
    <w:p w14:paraId="6A1F4290" w14:textId="31101C78" w:rsidR="005556DC" w:rsidRPr="00B817D9" w:rsidRDefault="00500508"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22.</w:t>
      </w:r>
      <w:r w:rsidRPr="00B817D9">
        <w:tab/>
      </w:r>
      <w:r w:rsidRPr="00B817D9">
        <w:rPr>
          <w:rFonts w:ascii="Times New Roman" w:hAnsi="Times New Roman"/>
          <w:sz w:val="24"/>
        </w:rPr>
        <w:t>Instytucje zgłaszają pozycje LR1, tak jakby pozycje ze znakiem ujemnym we wzorze LRCalc (np. wyłączenia/odliczenia)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kon</w:t>
      </w:r>
      <w:r w:rsidRPr="00B817D9">
        <w:rPr>
          <w:rFonts w:ascii="Times New Roman" w:hAnsi="Times New Roman"/>
          <w:sz w:val="24"/>
        </w:rPr>
        <w:t>wencją znaku określoną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nin</w:t>
      </w:r>
      <w:r w:rsidRPr="00B817D9">
        <w:rPr>
          <w:rFonts w:ascii="Times New Roman" w:hAnsi="Times New Roman"/>
          <w:sz w:val="24"/>
        </w:rPr>
        <w:t>iejszym załączniku część I pkt</w:t>
      </w:r>
      <w:r w:rsidR="00B817D9" w:rsidRPr="00B817D9">
        <w:rPr>
          <w:rFonts w:ascii="Times New Roman" w:hAnsi="Times New Roman"/>
          <w:sz w:val="24"/>
        </w:rPr>
        <w:t> </w:t>
      </w:r>
      <w:r w:rsidRPr="00B817D9">
        <w:rPr>
          <w:rFonts w:ascii="Times New Roman" w:hAnsi="Times New Roman"/>
          <w:sz w:val="24"/>
        </w:rPr>
        <w:t>9 nie miały zastosowania,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wyj</w:t>
      </w:r>
      <w:r w:rsidRPr="00B817D9">
        <w:rPr>
          <w:rFonts w:ascii="Times New Roman" w:hAnsi="Times New Roman"/>
          <w:sz w:val="24"/>
        </w:rPr>
        <w:t>ątkiem wierszy {0270;0010} i{0280;0010}.</w:t>
      </w:r>
    </w:p>
    <w:p w14:paraId="3B5DA19A" w14:textId="314820A5" w:rsidR="00201643" w:rsidRPr="00B817D9" w:rsidRDefault="00201643"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23.</w:t>
      </w:r>
      <w:r w:rsidRPr="00B817D9">
        <w:tab/>
      </w:r>
      <w:r w:rsidRPr="00B817D9">
        <w:rPr>
          <w:rFonts w:ascii="Times New Roman" w:hAnsi="Times New Roman"/>
          <w:sz w:val="24"/>
        </w:rPr>
        <w:t>{r0410;c0010} we wzorze 40.00 zgłaszają wyłącznie:</w:t>
      </w:r>
    </w:p>
    <w:p w14:paraId="120D67B7" w14:textId="17E4C0E0" w:rsidR="00390B64" w:rsidRPr="00B817D9" w:rsidRDefault="00390B64" w:rsidP="000B66BC">
      <w:pPr>
        <w:pStyle w:val="BodyText1"/>
        <w:numPr>
          <w:ilvl w:val="0"/>
          <w:numId w:val="35"/>
        </w:numPr>
        <w:spacing w:after="240"/>
        <w:rPr>
          <w:rFonts w:ascii="Times New Roman" w:hAnsi="Times New Roman"/>
          <w:sz w:val="24"/>
          <w:szCs w:val="24"/>
        </w:rPr>
      </w:pPr>
      <w:r w:rsidRPr="00B817D9">
        <w:rPr>
          <w:rFonts w:ascii="Times New Roman" w:hAnsi="Times New Roman"/>
          <w:sz w:val="24"/>
        </w:rPr>
        <w:t>duże instytucje, które są globalnymi instytucjami</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zna</w:t>
      </w:r>
      <w:r w:rsidRPr="00B817D9">
        <w:rPr>
          <w:rFonts w:ascii="Times New Roman" w:hAnsi="Times New Roman"/>
          <w:sz w:val="24"/>
        </w:rPr>
        <w:t>czeniu systemowym albo wyemitowały papiery wartościowe dopuszczane do obrotu na rynku regulowanym</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 xml:space="preserve">stotliwością półroczną, </w:t>
      </w:r>
    </w:p>
    <w:p w14:paraId="275097FF" w14:textId="0AC5F54A" w:rsidR="00390B64" w:rsidRPr="00B817D9" w:rsidRDefault="00390B64" w:rsidP="000B66BC">
      <w:pPr>
        <w:pStyle w:val="BodyText1"/>
        <w:numPr>
          <w:ilvl w:val="0"/>
          <w:numId w:val="35"/>
        </w:numPr>
        <w:spacing w:after="240"/>
        <w:rPr>
          <w:rFonts w:ascii="Times New Roman" w:hAnsi="Times New Roman"/>
          <w:sz w:val="24"/>
          <w:szCs w:val="24"/>
        </w:rPr>
      </w:pPr>
      <w:r w:rsidRPr="00B817D9">
        <w:rPr>
          <w:rFonts w:ascii="Times New Roman" w:hAnsi="Times New Roman"/>
          <w:sz w:val="24"/>
        </w:rPr>
        <w:t>duże instytucje inne niż globalne instytucje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zna</w:t>
      </w:r>
      <w:r w:rsidRPr="00B817D9">
        <w:rPr>
          <w:rFonts w:ascii="Times New Roman" w:hAnsi="Times New Roman"/>
          <w:sz w:val="24"/>
        </w:rPr>
        <w:t>czeniu systemowym, które nie emitują papierów dopuszczanych do obrotu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stotliwością roczną,</w:t>
      </w:r>
    </w:p>
    <w:p w14:paraId="59E3D42C" w14:textId="1B0E96F6" w:rsidR="00390B64" w:rsidRPr="00B817D9" w:rsidRDefault="00390B64" w:rsidP="000B66BC">
      <w:pPr>
        <w:pStyle w:val="BodyText1"/>
        <w:numPr>
          <w:ilvl w:val="0"/>
          <w:numId w:val="35"/>
        </w:numPr>
        <w:spacing w:after="240"/>
        <w:rPr>
          <w:rFonts w:ascii="Times New Roman" w:hAnsi="Times New Roman"/>
          <w:sz w:val="24"/>
          <w:szCs w:val="24"/>
        </w:rPr>
      </w:pPr>
      <w:r w:rsidRPr="00B817D9">
        <w:rPr>
          <w:rFonts w:ascii="Times New Roman" w:hAnsi="Times New Roman"/>
          <w:sz w:val="24"/>
        </w:rPr>
        <w:lastRenderedPageBreak/>
        <w:t>instytucje inne niż duże instytucje oraz małe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złożone instytucje, które wyemitowały papiery wartościowe dopuszczane do obrotu na rynku regulowanym</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 xml:space="preserve">stotliwością roczną.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B817D9" w14:paraId="26421155" w14:textId="77777777" w:rsidTr="00C7202A">
        <w:tc>
          <w:tcPr>
            <w:tcW w:w="1418" w:type="dxa"/>
            <w:shd w:val="clear" w:color="auto" w:fill="D9D9D9" w:themeFill="background1" w:themeFillShade="D9"/>
          </w:tcPr>
          <w:p w14:paraId="08FB450D" w14:textId="3C8B01AB" w:rsidR="00F4754B" w:rsidRPr="00B817D9" w:rsidRDefault="00F4754B" w:rsidP="000B66BC">
            <w:pPr>
              <w:pStyle w:val="BodyText1"/>
              <w:spacing w:after="240"/>
              <w:rPr>
                <w:rFonts w:ascii="Times New Roman" w:hAnsi="Times New Roman"/>
                <w:b/>
                <w:sz w:val="24"/>
                <w:szCs w:val="24"/>
              </w:rPr>
            </w:pPr>
            <w:r w:rsidRPr="00B817D9">
              <w:rPr>
                <w:rFonts w:ascii="Times New Roman" w:hAnsi="Times New Roman"/>
                <w:b/>
                <w:sz w:val="24"/>
              </w:rPr>
              <w:t>Wiersz</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kol</w:t>
            </w:r>
            <w:r w:rsidRPr="00B817D9">
              <w:rPr>
                <w:rFonts w:ascii="Times New Roman" w:hAnsi="Times New Roman"/>
                <w:b/>
                <w:sz w:val="24"/>
              </w:rPr>
              <w:t>umna</w:t>
            </w:r>
          </w:p>
        </w:tc>
        <w:tc>
          <w:tcPr>
            <w:tcW w:w="7620" w:type="dxa"/>
            <w:shd w:val="clear" w:color="auto" w:fill="D9D9D9" w:themeFill="background1" w:themeFillShade="D9"/>
          </w:tcPr>
          <w:p w14:paraId="2A94B720" w14:textId="33BC5BFE"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Odniesienia prawne</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ins</w:t>
            </w:r>
            <w:r w:rsidRPr="00B817D9">
              <w:rPr>
                <w:rFonts w:ascii="Times New Roman" w:hAnsi="Times New Roman"/>
                <w:b/>
                <w:sz w:val="24"/>
              </w:rPr>
              <w:t>trukcje</w:t>
            </w:r>
          </w:p>
        </w:tc>
      </w:tr>
      <w:tr w:rsidR="00F4754B" w:rsidRPr="00B817D9" w14:paraId="361F248A" w14:textId="77777777" w:rsidTr="00776650">
        <w:tc>
          <w:tcPr>
            <w:tcW w:w="1418" w:type="dxa"/>
          </w:tcPr>
          <w:p w14:paraId="4F9FA107" w14:textId="57BE6A84"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{0010;0010}</w:t>
            </w:r>
          </w:p>
        </w:tc>
        <w:tc>
          <w:tcPr>
            <w:tcW w:w="7620" w:type="dxa"/>
          </w:tcPr>
          <w:p w14:paraId="39F15765" w14:textId="77777777" w:rsidR="00F4754B" w:rsidRPr="00B817D9" w:rsidRDefault="00F4754B" w:rsidP="000B66BC">
            <w:pPr>
              <w:pStyle w:val="BodyText1"/>
              <w:spacing w:after="240" w:line="240" w:lineRule="auto"/>
              <w:rPr>
                <w:rFonts w:ascii="Times New Roman" w:hAnsi="Times New Roman"/>
                <w:bCs/>
                <w:sz w:val="24"/>
                <w:szCs w:val="24"/>
                <w:u w:val="single"/>
              </w:rPr>
            </w:pPr>
            <w:r w:rsidRPr="00B817D9">
              <w:rPr>
                <w:rFonts w:ascii="Times New Roman" w:hAnsi="Times New Roman"/>
                <w:b/>
                <w:sz w:val="24"/>
              </w:rPr>
              <w:t>Instrumenty pochodne – księgowa wartość bilansowa</w:t>
            </w:r>
          </w:p>
          <w:p w14:paraId="7F9C9C25" w14:textId="151D2509" w:rsidR="000A6437"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Jest to suma komórek {0020;010}, {0050;0010} i {0060;0010}.</w:t>
            </w:r>
          </w:p>
        </w:tc>
      </w:tr>
      <w:tr w:rsidR="00F4754B" w:rsidRPr="00B817D9" w14:paraId="1D231FFA" w14:textId="77777777" w:rsidTr="00776650">
        <w:tc>
          <w:tcPr>
            <w:tcW w:w="1418" w:type="dxa"/>
          </w:tcPr>
          <w:p w14:paraId="63C98797" w14:textId="06C6C9DC"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{0010;0020}</w:t>
            </w:r>
          </w:p>
        </w:tc>
        <w:tc>
          <w:tcPr>
            <w:tcW w:w="7620" w:type="dxa"/>
          </w:tcPr>
          <w:p w14:paraId="4563944E"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Instrumenty pochodne – wartość księgowa przy założeniu niestosowania kompensowania ani innego CRM</w:t>
            </w:r>
          </w:p>
          <w:p w14:paraId="7E68FF9D" w14:textId="3AAE9DFF" w:rsidR="00FF3AC1"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Jest to suma komórek {0020;0020}, {0050;0020} i {0060;0020}.</w:t>
            </w:r>
          </w:p>
        </w:tc>
      </w:tr>
      <w:tr w:rsidR="00F4754B" w:rsidRPr="00B817D9" w14:paraId="56F668DB" w14:textId="77777777" w:rsidTr="00776650">
        <w:tc>
          <w:tcPr>
            <w:tcW w:w="1418" w:type="dxa"/>
          </w:tcPr>
          <w:p w14:paraId="678E69B3" w14:textId="4CB76640"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{0010;0070}</w:t>
            </w:r>
          </w:p>
        </w:tc>
        <w:tc>
          <w:tcPr>
            <w:tcW w:w="7620" w:type="dxa"/>
          </w:tcPr>
          <w:p w14:paraId="5D79D47D"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Instrumenty pochodne – kwota referencyjna</w:t>
            </w:r>
          </w:p>
          <w:p w14:paraId="2AECBC09" w14:textId="2F33E455" w:rsidR="00F4754B"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Jest to suma komórek {0020;0070}, {0050;0070} i {0060;0070}.</w:t>
            </w:r>
          </w:p>
        </w:tc>
      </w:tr>
      <w:tr w:rsidR="00F4754B" w:rsidRPr="00B817D9" w14:paraId="6B45BB27" w14:textId="77777777" w:rsidTr="00776650">
        <w:tc>
          <w:tcPr>
            <w:tcW w:w="1418" w:type="dxa"/>
          </w:tcPr>
          <w:p w14:paraId="46216D41" w14:textId="7412E938"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{0020;0010}</w:t>
            </w:r>
          </w:p>
        </w:tc>
        <w:tc>
          <w:tcPr>
            <w:tcW w:w="7620" w:type="dxa"/>
          </w:tcPr>
          <w:p w14:paraId="0B692C56"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Kredytowe instrumenty pochodne (sprzedana ochrona) – księgowa wartość bilansowa</w:t>
            </w:r>
          </w:p>
          <w:p w14:paraId="0232A08C" w14:textId="7D8CC7A6" w:rsidR="00F4754B" w:rsidRPr="00B817D9" w:rsidRDefault="006D6827" w:rsidP="003E3C45">
            <w:pPr>
              <w:pStyle w:val="BodyText1"/>
              <w:spacing w:after="240" w:line="240" w:lineRule="auto"/>
              <w:rPr>
                <w:rFonts w:ascii="Times New Roman" w:hAnsi="Times New Roman"/>
                <w:b/>
                <w:bCs/>
                <w:sz w:val="24"/>
                <w:szCs w:val="24"/>
                <w:u w:val="single"/>
              </w:rPr>
            </w:pPr>
            <w:r w:rsidRPr="00B817D9">
              <w:rPr>
                <w:rFonts w:ascii="Times New Roman" w:hAnsi="Times New Roman"/>
                <w:sz w:val="24"/>
              </w:rPr>
              <w:t>Art. 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77 rozporządzenia (UE) nr</w:t>
            </w:r>
            <w:r w:rsidR="00B817D9" w:rsidRPr="00B817D9">
              <w:rPr>
                <w:rFonts w:ascii="Times New Roman" w:hAnsi="Times New Roman"/>
                <w:sz w:val="24"/>
              </w:rPr>
              <w:t> </w:t>
            </w:r>
            <w:r w:rsidRPr="00B817D9">
              <w:rPr>
                <w:rFonts w:ascii="Times New Roman" w:hAnsi="Times New Roman"/>
                <w:sz w:val="24"/>
              </w:rPr>
              <w:t>575/2013;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kredytowych instrumentów pochodnych,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których instytucja sprzedaje ochronę kredytową kontrahentowi,</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umo</w:t>
            </w:r>
            <w:r w:rsidRPr="00B817D9">
              <w:rPr>
                <w:rFonts w:ascii="Times New Roman" w:hAnsi="Times New Roman"/>
                <w:sz w:val="24"/>
              </w:rPr>
              <w:t>wę ujmuje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jako składnik aktywów.</w:t>
            </w:r>
          </w:p>
        </w:tc>
      </w:tr>
      <w:tr w:rsidR="00F4754B" w:rsidRPr="00B817D9" w14:paraId="78089643" w14:textId="77777777" w:rsidTr="00776650">
        <w:tc>
          <w:tcPr>
            <w:tcW w:w="1418" w:type="dxa"/>
          </w:tcPr>
          <w:p w14:paraId="6D29AC05" w14:textId="21326B21"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{0020;0020}</w:t>
            </w:r>
          </w:p>
        </w:tc>
        <w:tc>
          <w:tcPr>
            <w:tcW w:w="7620" w:type="dxa"/>
          </w:tcPr>
          <w:p w14:paraId="47C4979D" w14:textId="1C2E617E"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b/>
                <w:sz w:val="24"/>
              </w:rPr>
              <w:t>Kredytowe instrumenty pochodne (sprzedana ochrona) – wartość księgowa przy założeniu niestosowania kompensowania ani innego CRM</w:t>
            </w:r>
          </w:p>
          <w:p w14:paraId="379F5EE7" w14:textId="6DA8993C" w:rsidR="00F4754B" w:rsidRPr="00B817D9" w:rsidRDefault="006D6827" w:rsidP="003E3C45">
            <w:pPr>
              <w:pStyle w:val="BodyText1"/>
              <w:spacing w:after="240" w:line="240" w:lineRule="auto"/>
              <w:rPr>
                <w:rFonts w:ascii="Times New Roman" w:hAnsi="Times New Roman"/>
                <w:b/>
                <w:bCs/>
                <w:sz w:val="24"/>
                <w:szCs w:val="24"/>
                <w:u w:val="single"/>
              </w:rPr>
            </w:pPr>
            <w:r w:rsidRPr="00B817D9">
              <w:rPr>
                <w:rFonts w:ascii="Times New Roman" w:hAnsi="Times New Roman"/>
                <w:sz w:val="24"/>
              </w:rPr>
              <w:t>Art. 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77 rozporządzenia (UE) nr</w:t>
            </w:r>
            <w:r w:rsidR="00B817D9" w:rsidRPr="00B817D9">
              <w:rPr>
                <w:rFonts w:ascii="Times New Roman" w:hAnsi="Times New Roman"/>
                <w:sz w:val="24"/>
              </w:rPr>
              <w:t> </w:t>
            </w:r>
            <w:r w:rsidRPr="00B817D9">
              <w:rPr>
                <w:rFonts w:ascii="Times New Roman" w:hAnsi="Times New Roman"/>
                <w:sz w:val="24"/>
              </w:rPr>
              <w:t>575/2013;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kredytowych instrumentów pochodnych,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instytucja sprzedaje ochronę kredytową kontrahentowi,</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umo</w:t>
            </w:r>
            <w:r w:rsidRPr="00B817D9">
              <w:rPr>
                <w:rFonts w:ascii="Times New Roman" w:hAnsi="Times New Roman"/>
                <w:sz w:val="24"/>
              </w:rPr>
              <w:t>wę ujmuje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jako składnik aktywów przy założeniu niestosowania kompensat ostrożnościowych lub księgowych ani innych efektów CRM (tj. należy rozwiązać wszelkie kwoty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pensat księgowych lub CRM, które miały wpływ na wartość księgową)</w:t>
            </w:r>
          </w:p>
        </w:tc>
      </w:tr>
      <w:tr w:rsidR="00F4754B" w:rsidRPr="00B817D9" w14:paraId="6F14FFAF" w14:textId="77777777" w:rsidTr="00776650">
        <w:tc>
          <w:tcPr>
            <w:tcW w:w="1418" w:type="dxa"/>
          </w:tcPr>
          <w:p w14:paraId="7C797A14" w14:textId="4C6AAC24"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{0020;0070}</w:t>
            </w:r>
          </w:p>
        </w:tc>
        <w:tc>
          <w:tcPr>
            <w:tcW w:w="7620" w:type="dxa"/>
          </w:tcPr>
          <w:p w14:paraId="5B4D4747"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Kredytowe instrumenty pochodne (sprzedana ochrona) – kwota referencyjna</w:t>
            </w:r>
          </w:p>
          <w:p w14:paraId="79F96141" w14:textId="45B474E1" w:rsidR="00F4754B"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Jest to suma komórek {0030;0070} i {0040;0070}.</w:t>
            </w:r>
          </w:p>
        </w:tc>
      </w:tr>
      <w:tr w:rsidR="00410E47" w:rsidRPr="00B817D9" w14:paraId="3223F811" w14:textId="77777777" w:rsidTr="00776650">
        <w:tc>
          <w:tcPr>
            <w:tcW w:w="1418" w:type="dxa"/>
          </w:tcPr>
          <w:p w14:paraId="13A1CD32" w14:textId="73B22E89"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{0020;0075}</w:t>
            </w:r>
          </w:p>
        </w:tc>
        <w:tc>
          <w:tcPr>
            <w:tcW w:w="7620" w:type="dxa"/>
          </w:tcPr>
          <w:p w14:paraId="4149AAF1" w14:textId="6322DDFD"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Kredytowe instrumenty pochodne (sprzedana ochrona) – kwota referencyjna po zastosowaniu wyłączeń</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odl</w:t>
            </w:r>
            <w:r w:rsidRPr="00B817D9">
              <w:rPr>
                <w:rFonts w:ascii="Times New Roman" w:hAnsi="Times New Roman"/>
                <w:b/>
                <w:sz w:val="24"/>
              </w:rPr>
              <w:t>iczeń</w:t>
            </w:r>
          </w:p>
          <w:p w14:paraId="0C4AF19E" w14:textId="165A6DD6" w:rsidR="00410E47" w:rsidRPr="00B817D9" w:rsidRDefault="003E3C45"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lastRenderedPageBreak/>
              <w:t>Instytucje zgłaszają kwotę referencyjną kredytowych instrumentów pochodnych (sprzedana ochrona) jak</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{0020; 0070} po zmniejszeniu</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wsz</w:t>
            </w:r>
            <w:r w:rsidRPr="00B817D9">
              <w:rPr>
                <w:rFonts w:ascii="Times New Roman" w:hAnsi="Times New Roman"/>
                <w:sz w:val="24"/>
              </w:rPr>
              <w:t>elkie ujemne zmiany wartości godziwej, które wprowadzono do kapitału Tier 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wystawionego kredytowego instrumentu pochodnego.</w:t>
            </w:r>
          </w:p>
        </w:tc>
      </w:tr>
      <w:tr w:rsidR="00F56B61" w:rsidRPr="00B817D9"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B817D9" w:rsidRDefault="00F56B61" w:rsidP="000B66BC">
            <w:pPr>
              <w:pStyle w:val="BodyText1"/>
              <w:spacing w:after="240"/>
              <w:rPr>
                <w:rFonts w:ascii="Times New Roman" w:hAnsi="Times New Roman"/>
                <w:bCs/>
                <w:sz w:val="24"/>
                <w:szCs w:val="24"/>
              </w:rPr>
            </w:pPr>
            <w:r w:rsidRPr="00B817D9">
              <w:rPr>
                <w:rFonts w:ascii="Times New Roman" w:hAnsi="Times New Roman"/>
                <w:sz w:val="24"/>
              </w:rPr>
              <w:lastRenderedPageBreak/>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B817D9" w:rsidRDefault="00F56B61"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Kredytowe instrumenty pochodne (sprzedana ochrona) podlegające klauzuli likwidacji – kwota referencyjna</w:t>
            </w:r>
          </w:p>
          <w:p w14:paraId="018BEF1F" w14:textId="4977089D" w:rsidR="00F56B61" w:rsidRPr="00B817D9" w:rsidRDefault="003E3C45"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zgłaszają kwotę referencyjną kredytowych instrumentów pochodnych,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instytucja sprzedaje ochronę kredytową kontrahentowi podlegającemu klauzuli likwidacji.</w:t>
            </w:r>
          </w:p>
          <w:p w14:paraId="5A116C41" w14:textId="5C013C16" w:rsidR="00F56B61" w:rsidRPr="00B817D9" w:rsidRDefault="00F56B61" w:rsidP="000B66BC">
            <w:pPr>
              <w:pStyle w:val="BodyText1"/>
              <w:spacing w:after="240" w:line="240" w:lineRule="auto"/>
              <w:rPr>
                <w:rFonts w:ascii="Times New Roman" w:hAnsi="Times New Roman"/>
                <w:bCs/>
                <w:sz w:val="24"/>
                <w:szCs w:val="24"/>
              </w:rPr>
            </w:pPr>
            <w:r w:rsidRPr="00B817D9">
              <w:rPr>
                <w:rFonts w:ascii="Times New Roman" w:hAnsi="Times New Roman"/>
                <w:sz w:val="24"/>
              </w:rPr>
              <w:t>Klauzulę likwidacji definiuje się jako klauzulę dającą stronie wypełniającej zobowiązania prawo do szybkiego zakończenia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roz</w:t>
            </w:r>
            <w:r w:rsidRPr="00B817D9">
              <w:rPr>
                <w:rFonts w:ascii="Times New Roman" w:hAnsi="Times New Roman"/>
                <w:sz w:val="24"/>
              </w:rPr>
              <w:t>liczenia wszystkich transakcji objętych umową,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kontrahent nie wywiązuje się ze swoich zobowiązań, jak również</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jego bankructwa lub niewypłacalności.</w:t>
            </w:r>
          </w:p>
          <w:p w14:paraId="7931AC41" w14:textId="557F8233" w:rsidR="00F56B61" w:rsidRPr="00B817D9" w:rsidRDefault="00F56B61"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biorą pod uwagę wszystkie kredytowe instrumenty pochodne, nie tylko te przypisane do portfela handlowego.</w:t>
            </w:r>
          </w:p>
        </w:tc>
      </w:tr>
      <w:tr w:rsidR="00410E47" w:rsidRPr="00B817D9" w14:paraId="758B12D8" w14:textId="77777777" w:rsidTr="00F56B61">
        <w:tc>
          <w:tcPr>
            <w:tcW w:w="1418" w:type="dxa"/>
          </w:tcPr>
          <w:p w14:paraId="25EB07E0" w14:textId="122C4861"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{0040;0070}</w:t>
            </w:r>
          </w:p>
        </w:tc>
        <w:tc>
          <w:tcPr>
            <w:tcW w:w="7620" w:type="dxa"/>
          </w:tcPr>
          <w:p w14:paraId="6050FB9E" w14:textId="17B2C2C9"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Kredytowe instrumenty pochodne (sprzedana ochrona) niepodlegające klauzuli likwidacji – kwota referencyjna</w:t>
            </w:r>
          </w:p>
          <w:p w14:paraId="1DD1CCDE" w14:textId="218B0AFC" w:rsidR="00410E47" w:rsidRPr="00B817D9" w:rsidRDefault="003E3C45" w:rsidP="000B66BC">
            <w:pPr>
              <w:pStyle w:val="BodyText1"/>
              <w:spacing w:after="240" w:line="240" w:lineRule="auto"/>
              <w:rPr>
                <w:rFonts w:ascii="Times New Roman" w:hAnsi="Times New Roman"/>
                <w:sz w:val="24"/>
                <w:szCs w:val="24"/>
              </w:rPr>
            </w:pPr>
            <w:r w:rsidRPr="00B817D9">
              <w:rPr>
                <w:rFonts w:ascii="Times New Roman" w:hAnsi="Times New Roman"/>
                <w:sz w:val="24"/>
              </w:rPr>
              <w:t>Instytucje zgłaszają kwotę referencyjną kredytowych instrumentów pochodnych,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instytucja sprzedaje ochronę kredytową kontrahentowi, który nie podlega klauzuli likwidacji.</w:t>
            </w:r>
          </w:p>
          <w:p w14:paraId="35F31007" w14:textId="06042C33" w:rsidR="00410E47" w:rsidRPr="00B817D9" w:rsidRDefault="00410E47" w:rsidP="000B66BC">
            <w:pPr>
              <w:pStyle w:val="BodyText1"/>
              <w:spacing w:after="240" w:line="240" w:lineRule="auto"/>
              <w:rPr>
                <w:rFonts w:ascii="Times New Roman" w:hAnsi="Times New Roman"/>
                <w:sz w:val="24"/>
                <w:szCs w:val="24"/>
              </w:rPr>
            </w:pPr>
            <w:r w:rsidRPr="00B817D9">
              <w:rPr>
                <w:rFonts w:ascii="Times New Roman" w:hAnsi="Times New Roman"/>
                <w:sz w:val="24"/>
              </w:rPr>
              <w:t>Klauzulę likwidacji definiuje się jako klauzulę dającą stronie wypełniającej zobowiązania prawo do szybkiego zakończenia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roz</w:t>
            </w:r>
            <w:r w:rsidRPr="00B817D9">
              <w:rPr>
                <w:rFonts w:ascii="Times New Roman" w:hAnsi="Times New Roman"/>
                <w:sz w:val="24"/>
              </w:rPr>
              <w:t>liczenia wszystkich transakcji objętych umową,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kontrahent nie wywiązuje się ze swoich zobowiązań, jak również</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jego bankructwa lub niewypłacalności.</w:t>
            </w:r>
          </w:p>
          <w:p w14:paraId="3D6F6539" w14:textId="27A2337C" w:rsidR="00410E47" w:rsidRPr="00B817D9" w:rsidRDefault="00410E47"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biorą pod uwagę wszystkie kredytowe instrumenty pochodne, nie tylko te przypisane do portfela handlowego.</w:t>
            </w:r>
            <w:r w:rsidRPr="00B817D9">
              <w:rPr>
                <w:rFonts w:ascii="Times New Roman" w:hAnsi="Times New Roman"/>
                <w:b/>
                <w:sz w:val="24"/>
                <w:u w:val="single"/>
              </w:rPr>
              <w:t xml:space="preserve"> </w:t>
            </w:r>
          </w:p>
        </w:tc>
      </w:tr>
      <w:tr w:rsidR="00410E47" w:rsidRPr="00B817D9" w14:paraId="6FD3F9A1" w14:textId="77777777" w:rsidTr="00F56B61">
        <w:tc>
          <w:tcPr>
            <w:tcW w:w="1418" w:type="dxa"/>
          </w:tcPr>
          <w:p w14:paraId="735EF22F" w14:textId="3084E841"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{0050;0010}</w:t>
            </w:r>
          </w:p>
        </w:tc>
        <w:tc>
          <w:tcPr>
            <w:tcW w:w="7620" w:type="dxa"/>
          </w:tcPr>
          <w:p w14:paraId="1C7DEFE2" w14:textId="77777777"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Kredytowe instrumenty pochodne (zakupiona ochrona) – księgowa wartość bilansowa</w:t>
            </w:r>
          </w:p>
          <w:p w14:paraId="253831D8" w14:textId="29DF9159" w:rsidR="00410E47" w:rsidRPr="00B817D9" w:rsidRDefault="006D6827"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77 rozporządzenia (UE) nr</w:t>
            </w:r>
            <w:r w:rsidR="00B817D9" w:rsidRPr="00B817D9">
              <w:rPr>
                <w:rFonts w:ascii="Times New Roman" w:hAnsi="Times New Roman"/>
                <w:sz w:val="24"/>
              </w:rPr>
              <w:t> </w:t>
            </w:r>
            <w:r w:rsidRPr="00B817D9">
              <w:rPr>
                <w:rFonts w:ascii="Times New Roman" w:hAnsi="Times New Roman"/>
                <w:sz w:val="24"/>
              </w:rPr>
              <w:t>575/2013;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kredytowych instrumentów pochodnych,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instytucja nabywa ochronę kredytową od kontrahenta,</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umo</w:t>
            </w:r>
            <w:r w:rsidRPr="00B817D9">
              <w:rPr>
                <w:rFonts w:ascii="Times New Roman" w:hAnsi="Times New Roman"/>
                <w:sz w:val="24"/>
              </w:rPr>
              <w:t>wę ujmuje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jako składnik aktywów.</w:t>
            </w:r>
          </w:p>
          <w:p w14:paraId="702252EB" w14:textId="057F95BC" w:rsidR="00410E47" w:rsidRPr="00B817D9" w:rsidRDefault="00410E47"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biorą pod uwagę wszystkie kredytowe instrumenty pochodne, nie tylko te przypisane do portfela handlowego.</w:t>
            </w:r>
            <w:r w:rsidRPr="00B817D9">
              <w:rPr>
                <w:rFonts w:ascii="Times New Roman" w:hAnsi="Times New Roman"/>
                <w:b/>
                <w:sz w:val="24"/>
                <w:u w:val="single"/>
              </w:rPr>
              <w:t xml:space="preserve"> </w:t>
            </w:r>
          </w:p>
        </w:tc>
      </w:tr>
      <w:tr w:rsidR="00410E47" w:rsidRPr="00B817D9" w14:paraId="7D57309E" w14:textId="77777777" w:rsidTr="00F56B61">
        <w:tc>
          <w:tcPr>
            <w:tcW w:w="1418" w:type="dxa"/>
          </w:tcPr>
          <w:p w14:paraId="321C83DC" w14:textId="405C1057"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lastRenderedPageBreak/>
              <w:t>{0050;0020}</w:t>
            </w:r>
          </w:p>
        </w:tc>
        <w:tc>
          <w:tcPr>
            <w:tcW w:w="7620" w:type="dxa"/>
          </w:tcPr>
          <w:p w14:paraId="0AFB57D5" w14:textId="77777777"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Kredytowe instrumenty pochodne (zakupiona ochrona) –wartość księgowa przy założeniu niestosowania kompensowania ani innego CRM</w:t>
            </w:r>
          </w:p>
          <w:p w14:paraId="269D2982" w14:textId="524AE7BD" w:rsidR="00410E47" w:rsidRPr="00B817D9" w:rsidRDefault="006D6827"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77 rozporządzenia (UE) nr</w:t>
            </w:r>
            <w:r w:rsidR="00B817D9" w:rsidRPr="00B817D9">
              <w:rPr>
                <w:rFonts w:ascii="Times New Roman" w:hAnsi="Times New Roman"/>
                <w:sz w:val="24"/>
              </w:rPr>
              <w:t> </w:t>
            </w:r>
            <w:r w:rsidRPr="00B817D9">
              <w:rPr>
                <w:rFonts w:ascii="Times New Roman" w:hAnsi="Times New Roman"/>
                <w:sz w:val="24"/>
              </w:rPr>
              <w:t>575/2013;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kredytowych instrumentów pochodnych,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instytucja nabywa ochronę kredytową od kontrahenta,</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umo</w:t>
            </w:r>
            <w:r w:rsidRPr="00B817D9">
              <w:rPr>
                <w:rFonts w:ascii="Times New Roman" w:hAnsi="Times New Roman"/>
                <w:sz w:val="24"/>
              </w:rPr>
              <w:t>wę ujmuje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jako składnik aktywów przy założeniu niestosowania kompensat ostrożnościowych lub księgowych ani efektów CRM (tj. należy rozwiązać wszelkie kwoty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pensat księgowych lub CRM, które miały wpływ na wartość księgową)</w:t>
            </w:r>
            <w:r w:rsidR="00523E15" w:rsidRPr="00B817D9">
              <w:rPr>
                <w:rFonts w:ascii="Times New Roman" w:hAnsi="Times New Roman"/>
                <w:sz w:val="24"/>
              </w:rPr>
              <w:t>.</w:t>
            </w:r>
          </w:p>
          <w:p w14:paraId="2E8D49DB" w14:textId="0AA00007" w:rsidR="00410E47" w:rsidRPr="00B817D9" w:rsidRDefault="00410E47"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biorą pod uwagę wszystkie kredytowe instrumenty pochodne, nie tylko te przypisane do portfela handlowego.</w:t>
            </w:r>
            <w:r w:rsidRPr="00B817D9">
              <w:rPr>
                <w:rFonts w:ascii="Times New Roman" w:hAnsi="Times New Roman"/>
                <w:b/>
                <w:sz w:val="24"/>
                <w:u w:val="single"/>
              </w:rPr>
              <w:t xml:space="preserve"> </w:t>
            </w:r>
          </w:p>
        </w:tc>
      </w:tr>
      <w:tr w:rsidR="00410E47" w:rsidRPr="00B817D9" w14:paraId="66D4DF42" w14:textId="77777777" w:rsidTr="00776650">
        <w:tc>
          <w:tcPr>
            <w:tcW w:w="1418" w:type="dxa"/>
          </w:tcPr>
          <w:p w14:paraId="14F12A57" w14:textId="14E0A38E"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{0050;0070}</w:t>
            </w:r>
          </w:p>
          <w:p w14:paraId="02F218B6" w14:textId="77777777" w:rsidR="00410E47" w:rsidRPr="00B817D9"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Kredytowe instrumenty pochodne (zakupiona ochrona) – kwota referencyjna</w:t>
            </w:r>
          </w:p>
          <w:p w14:paraId="1671DB5D" w14:textId="1418DEBF" w:rsidR="00410E47" w:rsidRPr="00B817D9" w:rsidRDefault="003E3C45"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zgłaszają kwotę referencyjną kredytowych instrumentów pochodnych,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 xml:space="preserve">ypadku których instytucja nabywa ochronę kredytową od kontrahenta. </w:t>
            </w:r>
          </w:p>
          <w:p w14:paraId="38DBE45F" w14:textId="372DBEE5" w:rsidR="00410E47" w:rsidRPr="00B817D9" w:rsidRDefault="00410E47"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biorą pod uwagę wszystkie kredytowe instrumenty pochodne, nie tylko te przypisane do portfela handlowego.</w:t>
            </w:r>
            <w:r w:rsidRPr="00B817D9">
              <w:rPr>
                <w:rFonts w:ascii="Times New Roman" w:hAnsi="Times New Roman"/>
                <w:b/>
                <w:sz w:val="24"/>
                <w:u w:val="single"/>
              </w:rPr>
              <w:t xml:space="preserve"> </w:t>
            </w:r>
          </w:p>
        </w:tc>
      </w:tr>
      <w:tr w:rsidR="00410E47" w:rsidRPr="00B817D9" w14:paraId="05C9F42E" w14:textId="77777777" w:rsidTr="00776650">
        <w:tc>
          <w:tcPr>
            <w:tcW w:w="1418" w:type="dxa"/>
          </w:tcPr>
          <w:p w14:paraId="0F85E383" w14:textId="5077338D"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{0050;0075}</w:t>
            </w:r>
          </w:p>
        </w:tc>
        <w:tc>
          <w:tcPr>
            <w:tcW w:w="7620" w:type="dxa"/>
          </w:tcPr>
          <w:p w14:paraId="1E75C7B9" w14:textId="041EC75A"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Kredytowe instrumenty pochodne (zakupiona ochrona) – kwota referencyjna po zastosowaniu wyłączeń</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odl</w:t>
            </w:r>
            <w:r w:rsidRPr="00B817D9">
              <w:rPr>
                <w:rFonts w:ascii="Times New Roman" w:hAnsi="Times New Roman"/>
                <w:b/>
                <w:sz w:val="24"/>
              </w:rPr>
              <w:t>iczeń</w:t>
            </w:r>
          </w:p>
          <w:p w14:paraId="34A0542C" w14:textId="551F7639" w:rsidR="00410E47" w:rsidRPr="00B817D9" w:rsidRDefault="003E3C45"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zgłaszają kwotę referencyjną kredytowych instrumentów pochodnych (zakupiona ochrona) jak</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{0050;0070} po zmniejszeniu</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wsz</w:t>
            </w:r>
            <w:r w:rsidRPr="00B817D9">
              <w:rPr>
                <w:rFonts w:ascii="Times New Roman" w:hAnsi="Times New Roman"/>
                <w:sz w:val="24"/>
              </w:rPr>
              <w:t>elkie dodatnie zmiany wartości godziwej, które wprowadzono do kapitału Tier 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zakupionego kredytowego instrumentu pochodnego.</w:t>
            </w:r>
          </w:p>
        </w:tc>
      </w:tr>
      <w:tr w:rsidR="00410E47" w:rsidRPr="00B817D9" w14:paraId="3D24D0EB" w14:textId="77777777" w:rsidTr="00776650">
        <w:tc>
          <w:tcPr>
            <w:tcW w:w="1418" w:type="dxa"/>
          </w:tcPr>
          <w:p w14:paraId="2FA9342C" w14:textId="1D5DB6DE"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{0050;0085}</w:t>
            </w:r>
          </w:p>
          <w:p w14:paraId="09433CF3" w14:textId="77777777" w:rsidR="00410E47" w:rsidRPr="00B817D9" w:rsidRDefault="00410E47" w:rsidP="000B66BC">
            <w:pPr>
              <w:pStyle w:val="BodyText1"/>
              <w:spacing w:after="240"/>
              <w:rPr>
                <w:rFonts w:ascii="Times New Roman" w:hAnsi="Times New Roman"/>
                <w:bCs/>
                <w:sz w:val="24"/>
                <w:szCs w:val="24"/>
              </w:rPr>
            </w:pPr>
          </w:p>
        </w:tc>
        <w:tc>
          <w:tcPr>
            <w:tcW w:w="7620" w:type="dxa"/>
          </w:tcPr>
          <w:p w14:paraId="7385FC42" w14:textId="29DEEED0" w:rsidR="00410E47" w:rsidRPr="00B817D9" w:rsidRDefault="00ED7412"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Kredytowe instrumenty pochodne (zakupiona ochrona) – kwota referencyjna po zastosowaniu wyłączeń</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odl</w:t>
            </w:r>
            <w:r w:rsidRPr="00B817D9">
              <w:rPr>
                <w:rFonts w:ascii="Times New Roman" w:hAnsi="Times New Roman"/>
                <w:b/>
                <w:sz w:val="24"/>
              </w:rPr>
              <w:t>iczeń (ta sama nazwa referencyjna)</w:t>
            </w:r>
          </w:p>
          <w:p w14:paraId="797BBD79" w14:textId="600AF579" w:rsidR="00410E47" w:rsidRPr="00B817D9" w:rsidRDefault="003E3C45"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zgłaszają kwotę referencyjną kredytowych instrumentów pochodnych,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instytucja nabywa ochronę kredytową na taką samą nazwę referencyjną instrumentów bazowych jak kredytowe instrumenty pochodne wystawione przez instytucję zgłaszającą dane.</w:t>
            </w:r>
          </w:p>
          <w:p w14:paraId="55CDE23E" w14:textId="6073C1C5" w:rsidR="00410E47" w:rsidRPr="00B817D9" w:rsidRDefault="00410E47" w:rsidP="000B66BC">
            <w:pPr>
              <w:pStyle w:val="BodyText1"/>
              <w:spacing w:after="240" w:line="240" w:lineRule="auto"/>
              <w:rPr>
                <w:rFonts w:ascii="Times New Roman" w:hAnsi="Times New Roman"/>
                <w:bCs/>
                <w:sz w:val="24"/>
                <w:szCs w:val="24"/>
              </w:rPr>
            </w:pPr>
            <w:r w:rsidRPr="00B817D9">
              <w:rPr>
                <w:rFonts w:ascii="Times New Roman" w:hAnsi="Times New Roman"/>
                <w:sz w:val="24"/>
              </w:rPr>
              <w:t>Do celów zgłaszania wartości tej komórki nazwy referencyjne instrumentów bazowych uznaje się za takie same, jeżeli odnoszą się do tego samego podmiotu prawnego</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poz</w:t>
            </w:r>
            <w:r w:rsidRPr="00B817D9">
              <w:rPr>
                <w:rFonts w:ascii="Times New Roman" w:hAnsi="Times New Roman"/>
                <w:sz w:val="24"/>
              </w:rPr>
              <w:t xml:space="preserve">iomu uprzywilejowania. </w:t>
            </w:r>
          </w:p>
          <w:p w14:paraId="2F022BB9" w14:textId="3567478A" w:rsidR="00410E47" w:rsidRPr="00B817D9" w:rsidRDefault="00410E47"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Zakupioną ochronę kredytową dla grupy podmiotów referencyjnych uznaje się za taką samą, jeżeli ochrona ta odpowiada pod względem ekonomicznym nabyciu ochrony osobno dla każdej</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zczególnych nazw</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gru</w:t>
            </w:r>
            <w:r w:rsidRPr="00B817D9">
              <w:rPr>
                <w:rFonts w:ascii="Times New Roman" w:hAnsi="Times New Roman"/>
                <w:sz w:val="24"/>
              </w:rPr>
              <w:t>pie.</w:t>
            </w:r>
          </w:p>
          <w:p w14:paraId="0154314D" w14:textId="07B86F75" w:rsidR="00410E47" w:rsidRPr="00B817D9" w:rsidRDefault="00410E47"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instytucja nabywa ochronę kredytową dla grupy nazw referencyjnych, wówczas tę ochronę kredytową uznaje się za taką samą jedynie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zakupiona ochrona kredytowa obejmuje całość podzbiorów grupy,</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której sprzedano ochronę kredytową. Innymi słowy, kompensowanie można uznać jedynie, gdy grupa podmiotów referencyjnych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poz</w:t>
            </w:r>
            <w:r w:rsidRPr="00B817D9">
              <w:rPr>
                <w:rFonts w:ascii="Times New Roman" w:hAnsi="Times New Roman"/>
                <w:sz w:val="24"/>
              </w:rPr>
              <w:t>iom podporządkowania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obu</w:t>
            </w:r>
            <w:r w:rsidRPr="00B817D9">
              <w:rPr>
                <w:rFonts w:ascii="Times New Roman" w:hAnsi="Times New Roman"/>
                <w:sz w:val="24"/>
              </w:rPr>
              <w:t xml:space="preserve"> transakcjach są identyczne. </w:t>
            </w:r>
          </w:p>
          <w:p w14:paraId="52D47F4F" w14:textId="6B18239F" w:rsidR="00410E47" w:rsidRPr="00B817D9" w:rsidRDefault="00410E47" w:rsidP="00474B43">
            <w:pPr>
              <w:pStyle w:val="BodyText1"/>
              <w:spacing w:after="240" w:line="240" w:lineRule="auto"/>
              <w:rPr>
                <w:rFonts w:ascii="Times New Roman" w:hAnsi="Times New Roman"/>
                <w:b/>
                <w:bCs/>
                <w:sz w:val="24"/>
                <w:szCs w:val="24"/>
                <w:u w:val="single"/>
              </w:rPr>
            </w:pPr>
            <w:r w:rsidRPr="00B817D9">
              <w:rPr>
                <w:rFonts w:ascii="Times New Roman" w:hAnsi="Times New Roman"/>
                <w:sz w:val="24"/>
              </w:rPr>
              <w:t>W przypadku każdej nazwy referencyjnej kwoty referencyjne ochrony kredytowej uwzględnionej na potrzeby sprawozdawczości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nie mogą przekroczyć wartości zgłoszonych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órkach {0020;0075} i {0050;0075}.</w:t>
            </w:r>
          </w:p>
        </w:tc>
      </w:tr>
      <w:tr w:rsidR="00410E47" w:rsidRPr="00B817D9" w14:paraId="679A8A87" w14:textId="77777777" w:rsidTr="00776650">
        <w:tc>
          <w:tcPr>
            <w:tcW w:w="1418" w:type="dxa"/>
          </w:tcPr>
          <w:p w14:paraId="486F8B55" w14:textId="7C0C1343"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lastRenderedPageBreak/>
              <w:t>{0060;0010}</w:t>
            </w:r>
          </w:p>
        </w:tc>
        <w:tc>
          <w:tcPr>
            <w:tcW w:w="7620" w:type="dxa"/>
          </w:tcPr>
          <w:p w14:paraId="7A410C0D" w14:textId="15D05203"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Finansowe instrumenty pochodne – księgowa wartość bilansowa</w:t>
            </w:r>
          </w:p>
          <w:p w14:paraId="6FA0DDE8" w14:textId="709B1461" w:rsidR="00410E47" w:rsidRPr="00B817D9" w:rsidRDefault="006D6827"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77 rozporządzenia (UE) nr</w:t>
            </w:r>
            <w:r w:rsidR="00B817D9" w:rsidRPr="00B817D9">
              <w:rPr>
                <w:rFonts w:ascii="Times New Roman" w:hAnsi="Times New Roman"/>
                <w:sz w:val="24"/>
              </w:rPr>
              <w:t> </w:t>
            </w:r>
            <w:r w:rsidRPr="00B817D9">
              <w:rPr>
                <w:rFonts w:ascii="Times New Roman" w:hAnsi="Times New Roman"/>
                <w:sz w:val="24"/>
              </w:rPr>
              <w:t>575/2013</w:t>
            </w:r>
          </w:p>
          <w:p w14:paraId="5A64C9B2" w14:textId="42A7DD79" w:rsidR="00410E47" w:rsidRPr="00B817D9" w:rsidRDefault="00E24137" w:rsidP="00474B43">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zgłaszają księgową wartość bilansową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umów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575/2013, jeżeli umowy ujmuje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jako składnik aktywów.</w:t>
            </w:r>
          </w:p>
        </w:tc>
      </w:tr>
      <w:tr w:rsidR="00410E47" w:rsidRPr="00B817D9" w14:paraId="64AB4D96" w14:textId="77777777" w:rsidTr="00776650">
        <w:tc>
          <w:tcPr>
            <w:tcW w:w="1418" w:type="dxa"/>
          </w:tcPr>
          <w:p w14:paraId="2EC14738" w14:textId="4D7985E6"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{0060;0020}</w:t>
            </w:r>
          </w:p>
        </w:tc>
        <w:tc>
          <w:tcPr>
            <w:tcW w:w="7620" w:type="dxa"/>
          </w:tcPr>
          <w:p w14:paraId="47D5F195" w14:textId="77777777"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Finansowe instrumenty pochodne – wartość księgowa przy założeniu niestosowania kompensowania ani innego CRM</w:t>
            </w:r>
          </w:p>
          <w:p w14:paraId="00EB79C6" w14:textId="0142AE54" w:rsidR="00410E47" w:rsidRPr="00B817D9" w:rsidRDefault="006D6827" w:rsidP="00474B43">
            <w:pPr>
              <w:pStyle w:val="BodyText1"/>
              <w:spacing w:after="240" w:line="240" w:lineRule="auto"/>
              <w:rPr>
                <w:rFonts w:ascii="Times New Roman" w:hAnsi="Times New Roman"/>
                <w:b/>
                <w:bCs/>
                <w:sz w:val="24"/>
                <w:szCs w:val="24"/>
                <w:u w:val="single"/>
              </w:rPr>
            </w:pPr>
            <w:r w:rsidRPr="00B817D9">
              <w:rPr>
                <w:rFonts w:ascii="Times New Roman" w:hAnsi="Times New Roman"/>
                <w:sz w:val="24"/>
              </w:rPr>
              <w:t>Art. 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77 rozporządzenia (UE) nr</w:t>
            </w:r>
            <w:r w:rsidR="00B817D9" w:rsidRPr="00B817D9">
              <w:rPr>
                <w:rFonts w:ascii="Times New Roman" w:hAnsi="Times New Roman"/>
                <w:sz w:val="24"/>
              </w:rPr>
              <w:t> </w:t>
            </w:r>
            <w:r w:rsidRPr="00B817D9">
              <w:rPr>
                <w:rFonts w:ascii="Times New Roman" w:hAnsi="Times New Roman"/>
                <w:sz w:val="24"/>
              </w:rPr>
              <w:t>575/2013;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umów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575/2013, jeżeli umowy ujmuje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jako składnik aktywów, przy założeniu niestosowania kompensat ostrożnościowych lub księgowych ani innych efektów CRM (tj. należy rozwiązać wszelkie kwoty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pensat księgowych lub CRM, które miały wpływ na wartość księgową).</w:t>
            </w:r>
          </w:p>
        </w:tc>
      </w:tr>
      <w:tr w:rsidR="00410E47" w:rsidRPr="00B817D9" w14:paraId="24EE0FAD" w14:textId="77777777" w:rsidTr="00776650">
        <w:tc>
          <w:tcPr>
            <w:tcW w:w="1418" w:type="dxa"/>
          </w:tcPr>
          <w:p w14:paraId="1ACC573A" w14:textId="679E5400"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{0060;0070}</w:t>
            </w:r>
          </w:p>
        </w:tc>
        <w:tc>
          <w:tcPr>
            <w:tcW w:w="7620" w:type="dxa"/>
          </w:tcPr>
          <w:p w14:paraId="2C3B01F2" w14:textId="77777777"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Finansowe instrumenty pochodne – kwota referencyjna</w:t>
            </w:r>
          </w:p>
          <w:p w14:paraId="64E79FE5" w14:textId="431D5754" w:rsidR="00410E47" w:rsidRPr="00B817D9" w:rsidRDefault="00410E47" w:rsidP="00474B43">
            <w:pPr>
              <w:pStyle w:val="BodyText1"/>
              <w:spacing w:after="240" w:line="240" w:lineRule="auto"/>
              <w:rPr>
                <w:rFonts w:ascii="Times New Roman" w:hAnsi="Times New Roman"/>
                <w:b/>
                <w:bCs/>
                <w:sz w:val="24"/>
                <w:szCs w:val="24"/>
                <w:u w:val="single"/>
              </w:rPr>
            </w:pPr>
            <w:r w:rsidRPr="00B817D9">
              <w:rPr>
                <w:rFonts w:ascii="Times New Roman" w:hAnsi="Times New Roman"/>
                <w:sz w:val="24"/>
              </w:rPr>
              <w:t>W tej komórce uwzględnia się kwotę referencyjną umów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575/2013.</w:t>
            </w:r>
          </w:p>
        </w:tc>
      </w:tr>
      <w:tr w:rsidR="007B7914" w:rsidRPr="00B817D9"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B817D9" w:rsidRDefault="007B7914" w:rsidP="000B66BC">
            <w:pPr>
              <w:pStyle w:val="BodyText1"/>
              <w:spacing w:after="240"/>
              <w:rPr>
                <w:rFonts w:ascii="Times New Roman" w:hAnsi="Times New Roman"/>
                <w:bCs/>
                <w:sz w:val="24"/>
                <w:szCs w:val="24"/>
              </w:rPr>
            </w:pPr>
            <w:r w:rsidRPr="00B817D9">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50635F72" w:rsidR="007B7914" w:rsidRPr="00B817D9" w:rsidRDefault="007B7914"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Transakcje finansowane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uży</w:t>
            </w:r>
            <w:r w:rsidRPr="00B817D9">
              <w:rPr>
                <w:rFonts w:ascii="Times New Roman" w:hAnsi="Times New Roman"/>
                <w:b/>
                <w:sz w:val="24"/>
              </w:rPr>
              <w:t>ciem papierów wartościowych – księgowa wartość bilansowa</w:t>
            </w:r>
          </w:p>
          <w:p w14:paraId="0D6AB751" w14:textId="5CAA40BE" w:rsidR="007B7914" w:rsidRPr="00B817D9" w:rsidRDefault="007B7914"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77 rozporządzenia (UE) nr</w:t>
            </w:r>
            <w:r w:rsidR="00B817D9" w:rsidRPr="00B817D9">
              <w:rPr>
                <w:rFonts w:ascii="Times New Roman" w:hAnsi="Times New Roman"/>
                <w:sz w:val="24"/>
              </w:rPr>
              <w:t> </w:t>
            </w:r>
            <w:r w:rsidRPr="00B817D9">
              <w:rPr>
                <w:rFonts w:ascii="Times New Roman" w:hAnsi="Times New Roman"/>
                <w:sz w:val="24"/>
              </w:rPr>
              <w:t>575/2013; księgowa wartość bilansowa SFT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 jeżeli umowy ujmuje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jako składnik aktywów.</w:t>
            </w:r>
          </w:p>
          <w:p w14:paraId="2235756A" w14:textId="13B25B00" w:rsidR="007B7914" w:rsidRPr="00B817D9" w:rsidRDefault="007B7914" w:rsidP="000B66BC">
            <w:pPr>
              <w:pStyle w:val="BodyText1"/>
              <w:spacing w:after="240" w:line="240" w:lineRule="auto"/>
              <w:rPr>
                <w:rFonts w:ascii="Times New Roman" w:hAnsi="Times New Roman"/>
                <w:b/>
                <w:bCs/>
                <w:sz w:val="24"/>
                <w:szCs w:val="24"/>
              </w:rPr>
            </w:pPr>
            <w:r w:rsidRPr="00B817D9">
              <w:rPr>
                <w:rFonts w:ascii="Times New Roman" w:hAnsi="Times New Roman"/>
                <w:sz w:val="24"/>
              </w:rPr>
              <w:lastRenderedPageBreak/>
              <w:t>W tej komórce instytucje nie uwzględniają otrzymanych środków pieniężnych ani żadnych papierów wartościowych przekazanych kontrahentowi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wyżej wymienionych transakcji</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zac</w:t>
            </w:r>
            <w:r w:rsidRPr="00B817D9">
              <w:rPr>
                <w:rFonts w:ascii="Times New Roman" w:hAnsi="Times New Roman"/>
                <w:sz w:val="24"/>
              </w:rPr>
              <w:t>howanych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(tj. nie zostały spełnione kryteria rachunkowe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zak</w:t>
            </w:r>
            <w:r w:rsidRPr="00B817D9">
              <w:rPr>
                <w:rFonts w:ascii="Times New Roman" w:hAnsi="Times New Roman"/>
                <w:sz w:val="24"/>
              </w:rPr>
              <w:t>resie usunięcia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ansu). Instytucje podają te pozycje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{0090;0010}.</w:t>
            </w:r>
          </w:p>
        </w:tc>
      </w:tr>
      <w:tr w:rsidR="007B7914" w:rsidRPr="00B817D9"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B817D9" w:rsidRDefault="007B7914" w:rsidP="000B66BC">
            <w:pPr>
              <w:pStyle w:val="BodyText1"/>
              <w:spacing w:after="240"/>
              <w:rPr>
                <w:rFonts w:ascii="Times New Roman" w:hAnsi="Times New Roman"/>
                <w:bCs/>
                <w:sz w:val="24"/>
                <w:szCs w:val="24"/>
              </w:rPr>
            </w:pPr>
            <w:r w:rsidRPr="00B817D9">
              <w:rPr>
                <w:rFonts w:ascii="Times New Roman" w:hAnsi="Times New Roman"/>
                <w:sz w:val="24"/>
              </w:rPr>
              <w:lastRenderedPageBreak/>
              <w:t>{0071;0020}</w:t>
            </w:r>
          </w:p>
        </w:tc>
        <w:tc>
          <w:tcPr>
            <w:tcW w:w="7620" w:type="dxa"/>
            <w:tcBorders>
              <w:top w:val="single" w:sz="4" w:space="0" w:color="auto"/>
              <w:left w:val="single" w:sz="4" w:space="0" w:color="auto"/>
              <w:bottom w:val="single" w:sz="4" w:space="0" w:color="auto"/>
              <w:right w:val="single" w:sz="4" w:space="0" w:color="auto"/>
            </w:tcBorders>
          </w:tcPr>
          <w:p w14:paraId="199363B4" w14:textId="2E12F1AB" w:rsidR="007B7914" w:rsidRPr="00B817D9" w:rsidRDefault="007B7914"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Transakcje finansowane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uży</w:t>
            </w:r>
            <w:r w:rsidRPr="00B817D9">
              <w:rPr>
                <w:rFonts w:ascii="Times New Roman" w:hAnsi="Times New Roman"/>
                <w:b/>
                <w:sz w:val="24"/>
              </w:rPr>
              <w:t>ciem papierów wartościowych – wartość księgowa przy założeniu niestosowania kompensowania ani innego CRM</w:t>
            </w:r>
          </w:p>
          <w:p w14:paraId="07F0EA6D" w14:textId="19DBF8CC" w:rsidR="00474B43" w:rsidRPr="00B817D9" w:rsidRDefault="007B7914" w:rsidP="000B66BC">
            <w:pPr>
              <w:pStyle w:val="BodyText1"/>
              <w:spacing w:after="240" w:line="240" w:lineRule="auto"/>
              <w:rPr>
                <w:rFonts w:ascii="Times New Roman" w:hAnsi="Times New Roman"/>
                <w:bCs/>
                <w:sz w:val="24"/>
                <w:szCs w:val="24"/>
              </w:rPr>
            </w:pPr>
            <w:r w:rsidRPr="00B817D9">
              <w:rPr>
                <w:rFonts w:ascii="Times New Roman" w:hAnsi="Times New Roman"/>
                <w:sz w:val="24"/>
              </w:rPr>
              <w:t>Art. 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77 rozporządzenia (UE) nr</w:t>
            </w:r>
            <w:r w:rsidR="00B817D9" w:rsidRPr="00B817D9">
              <w:rPr>
                <w:rFonts w:ascii="Times New Roman" w:hAnsi="Times New Roman"/>
                <w:sz w:val="24"/>
              </w:rPr>
              <w:t> </w:t>
            </w:r>
            <w:r w:rsidRPr="00B817D9">
              <w:rPr>
                <w:rFonts w:ascii="Times New Roman" w:hAnsi="Times New Roman"/>
                <w:sz w:val="24"/>
              </w:rPr>
              <w:t>575/2013;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 jeżeli umowy ujmuje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jako składnik aktywów, przy założeniu niestosowania kompensat ostrożnościowych lub księgowych ani innych efektów CRM (tj. należy rozwiązać wszelkie kwoty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 xml:space="preserve">pensat księgowych lub CRM, które miały wpływ na wartość księgową). </w:t>
            </w:r>
          </w:p>
          <w:p w14:paraId="04F4C292" w14:textId="3EF4A1AC" w:rsidR="007B7914" w:rsidRPr="00B817D9" w:rsidRDefault="00474B43"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zaksięgowano sprzedaż</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SFT</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mających zastosowanie standardów rachunkowości, instytucje rozwiązują wszystkie zaksięgowane pozycje dotyczące sprzedaży.</w:t>
            </w:r>
          </w:p>
          <w:p w14:paraId="072F9F82" w14:textId="5FF11FE1" w:rsidR="007B7914" w:rsidRPr="00B817D9" w:rsidRDefault="007B7914" w:rsidP="000B66BC">
            <w:pPr>
              <w:pStyle w:val="BodyText1"/>
              <w:spacing w:after="240" w:line="240" w:lineRule="auto"/>
              <w:rPr>
                <w:rFonts w:ascii="Times New Roman" w:hAnsi="Times New Roman"/>
                <w:b/>
                <w:bCs/>
                <w:sz w:val="24"/>
                <w:szCs w:val="24"/>
              </w:rPr>
            </w:pPr>
            <w:r w:rsidRPr="00B817D9">
              <w:rPr>
                <w:rFonts w:ascii="Times New Roman" w:hAnsi="Times New Roman"/>
                <w:sz w:val="24"/>
              </w:rPr>
              <w:t>W tej komórce instytucje nie uwzględniają otrzymanych środków pieniężnych ani żadnych papierów wartościowych przekazanych kontrahentowi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wyżej wymienionych transakcji</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zac</w:t>
            </w:r>
            <w:r w:rsidRPr="00B817D9">
              <w:rPr>
                <w:rFonts w:ascii="Times New Roman" w:hAnsi="Times New Roman"/>
                <w:sz w:val="24"/>
              </w:rPr>
              <w:t>howanych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ansie (tj. nie zostały spełnione kryteria rachunkowe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zak</w:t>
            </w:r>
            <w:r w:rsidRPr="00B817D9">
              <w:rPr>
                <w:rFonts w:ascii="Times New Roman" w:hAnsi="Times New Roman"/>
                <w:sz w:val="24"/>
              </w:rPr>
              <w:t>resie usunięcia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bil</w:t>
            </w:r>
            <w:r w:rsidRPr="00B817D9">
              <w:rPr>
                <w:rFonts w:ascii="Times New Roman" w:hAnsi="Times New Roman"/>
                <w:sz w:val="24"/>
              </w:rPr>
              <w:t>ansu). Instytucje podają te pozycje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{0090;0020}.</w:t>
            </w:r>
          </w:p>
        </w:tc>
      </w:tr>
      <w:tr w:rsidR="00410E47" w:rsidRPr="00B817D9" w14:paraId="2BD078C3" w14:textId="77777777" w:rsidTr="00FC2664">
        <w:tc>
          <w:tcPr>
            <w:tcW w:w="1418" w:type="dxa"/>
          </w:tcPr>
          <w:p w14:paraId="793DC72B" w14:textId="19D262D1"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{0090;0010}</w:t>
            </w:r>
          </w:p>
        </w:tc>
        <w:tc>
          <w:tcPr>
            <w:tcW w:w="7620" w:type="dxa"/>
          </w:tcPr>
          <w:p w14:paraId="520EA2AC" w14:textId="77777777"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Inne aktywa – księgowa wartość bilansowa</w:t>
            </w:r>
          </w:p>
          <w:p w14:paraId="6BEE30BB" w14:textId="479A70AD" w:rsidR="00410E47" w:rsidRPr="00B817D9" w:rsidRDefault="0084728D" w:rsidP="00474B43">
            <w:pPr>
              <w:pStyle w:val="BodyText1"/>
              <w:spacing w:after="240" w:line="240" w:lineRule="auto"/>
              <w:rPr>
                <w:rFonts w:ascii="Times New Roman" w:hAnsi="Times New Roman"/>
                <w:b/>
                <w:bCs/>
                <w:sz w:val="24"/>
                <w:szCs w:val="24"/>
                <w:u w:val="single"/>
              </w:rPr>
            </w:pPr>
            <w:r w:rsidRPr="00B817D9">
              <w:rPr>
                <w:rFonts w:ascii="Times New Roman" w:hAnsi="Times New Roman"/>
                <w:sz w:val="24"/>
              </w:rPr>
              <w:t>Art. 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77 rozporządzenia (UE) nr</w:t>
            </w:r>
            <w:r w:rsidR="00B817D9" w:rsidRPr="00B817D9">
              <w:rPr>
                <w:rFonts w:ascii="Times New Roman" w:hAnsi="Times New Roman"/>
                <w:sz w:val="24"/>
              </w:rPr>
              <w:t> </w:t>
            </w:r>
            <w:r w:rsidRPr="00B817D9">
              <w:rPr>
                <w:rFonts w:ascii="Times New Roman" w:hAnsi="Times New Roman"/>
                <w:sz w:val="24"/>
              </w:rPr>
              <w:t>575/2013;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wszystkich aktywów innych niż umowy wymienione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575/2013, kredytowych instrumentów pochodnych oraz SFT.</w:t>
            </w:r>
          </w:p>
        </w:tc>
      </w:tr>
      <w:tr w:rsidR="00410E47" w:rsidRPr="00B817D9" w14:paraId="2A9CFA05" w14:textId="77777777" w:rsidTr="00FC2664">
        <w:tc>
          <w:tcPr>
            <w:tcW w:w="1418" w:type="dxa"/>
          </w:tcPr>
          <w:p w14:paraId="77B58A02" w14:textId="52063391"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{0090;0020}</w:t>
            </w:r>
          </w:p>
        </w:tc>
        <w:tc>
          <w:tcPr>
            <w:tcW w:w="7620" w:type="dxa"/>
          </w:tcPr>
          <w:p w14:paraId="0A7C5F46" w14:textId="77777777"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Inne aktywa – wartość księgowa przy założeniu niestosowania kompensowania ani innego CRM</w:t>
            </w:r>
          </w:p>
          <w:p w14:paraId="6FFD3E4A" w14:textId="4442507E" w:rsidR="00410E47" w:rsidRPr="00B817D9" w:rsidRDefault="00E20CD8" w:rsidP="00474B43">
            <w:pPr>
              <w:pStyle w:val="BodyText1"/>
              <w:spacing w:after="240" w:line="240" w:lineRule="auto"/>
              <w:rPr>
                <w:rFonts w:ascii="Times New Roman" w:hAnsi="Times New Roman"/>
                <w:bCs/>
                <w:sz w:val="24"/>
                <w:szCs w:val="24"/>
              </w:rPr>
            </w:pPr>
            <w:r w:rsidRPr="00B817D9">
              <w:rPr>
                <w:rFonts w:ascii="Times New Roman" w:hAnsi="Times New Roman"/>
                <w:sz w:val="24"/>
              </w:rPr>
              <w:t>Art. 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77 rozporządzenia (UE) nr</w:t>
            </w:r>
            <w:r w:rsidR="00B817D9" w:rsidRPr="00B817D9">
              <w:rPr>
                <w:rFonts w:ascii="Times New Roman" w:hAnsi="Times New Roman"/>
                <w:sz w:val="24"/>
              </w:rPr>
              <w:t> </w:t>
            </w:r>
            <w:r w:rsidRPr="00B817D9">
              <w:rPr>
                <w:rFonts w:ascii="Times New Roman" w:hAnsi="Times New Roman"/>
                <w:sz w:val="24"/>
              </w:rPr>
              <w:t>575/2013;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wszystkich aktywów innych niż umowy wymienione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575/2013, kredytowych instrumentów pochodnych oraz SFT, przy założeniu niestosowania efektów kompensat księgowych ani innych efektów CRM (tj. należy rozwiązać wszelkie kwoty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pensat księgowych lub CRM, które miały wpływ na wartość księgową).</w:t>
            </w:r>
          </w:p>
          <w:p w14:paraId="398E7EA3" w14:textId="1CC2FD77" w:rsidR="00D1326E" w:rsidRPr="00B817D9" w:rsidRDefault="00D1326E" w:rsidP="00474B43">
            <w:pPr>
              <w:pStyle w:val="BodyText1"/>
              <w:spacing w:after="240" w:line="240" w:lineRule="auto"/>
              <w:rPr>
                <w:rFonts w:ascii="Times New Roman" w:hAnsi="Times New Roman"/>
                <w:b/>
                <w:bCs/>
                <w:sz w:val="24"/>
                <w:szCs w:val="24"/>
                <w:u w:val="single"/>
              </w:rPr>
            </w:pPr>
          </w:p>
        </w:tc>
      </w:tr>
      <w:tr w:rsidR="00D5649D" w:rsidRPr="00B817D9"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B817D9" w:rsidDel="00764219" w:rsidRDefault="00D5649D" w:rsidP="000B66BC">
            <w:pPr>
              <w:pStyle w:val="BodyText1"/>
              <w:spacing w:after="240"/>
              <w:rPr>
                <w:rFonts w:ascii="Times New Roman" w:hAnsi="Times New Roman"/>
                <w:bCs/>
                <w:sz w:val="24"/>
                <w:szCs w:val="24"/>
              </w:rPr>
            </w:pPr>
            <w:r w:rsidRPr="00B817D9">
              <w:rPr>
                <w:rFonts w:ascii="Times New Roman" w:hAnsi="Times New Roman"/>
                <w:sz w:val="24"/>
              </w:rPr>
              <w:lastRenderedPageBreak/>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B817D9" w:rsidRDefault="00D5649D"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Pozycje pozabilansowe</w:t>
            </w:r>
          </w:p>
          <w:p w14:paraId="76247621" w14:textId="06733E3F" w:rsidR="00D5649D" w:rsidRPr="00B817D9" w:rsidDel="00764219" w:rsidRDefault="00474B43"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zgłaszają wartość nominalną pozycji pozabilansowych</w:t>
            </w:r>
            <w:r w:rsidR="00B817D9" w:rsidRPr="00B817D9">
              <w:rPr>
                <w:rFonts w:ascii="Times New Roman" w:hAnsi="Times New Roman"/>
                <w:sz w:val="24"/>
              </w:rPr>
              <w:t>.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instytucje nie uwzględniają umów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II do rozporządzenia (UE) nr</w:t>
            </w:r>
            <w:r w:rsidR="00B817D9" w:rsidRPr="00B817D9">
              <w:rPr>
                <w:rFonts w:ascii="Times New Roman" w:hAnsi="Times New Roman"/>
                <w:sz w:val="24"/>
              </w:rPr>
              <w:t> </w:t>
            </w:r>
            <w:r w:rsidRPr="00B817D9">
              <w:rPr>
                <w:rFonts w:ascii="Times New Roman" w:hAnsi="Times New Roman"/>
                <w:sz w:val="24"/>
              </w:rPr>
              <w:t>575/2013, kredytowych instrumentów pochodnych i SFT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429f ust.</w:t>
            </w:r>
            <w:r w:rsidR="00B817D9" w:rsidRPr="00B817D9">
              <w:rPr>
                <w:rFonts w:ascii="Times New Roman" w:hAnsi="Times New Roman"/>
                <w:sz w:val="24"/>
              </w:rPr>
              <w:t> </w:t>
            </w:r>
            <w:r w:rsidRPr="00B817D9">
              <w:rPr>
                <w:rFonts w:ascii="Times New Roman" w:hAnsi="Times New Roman"/>
                <w:sz w:val="24"/>
              </w:rPr>
              <w:t>1 rozporządzenia (UE) nr</w:t>
            </w:r>
            <w:r w:rsidR="00B817D9" w:rsidRPr="00B817D9">
              <w:rPr>
                <w:rFonts w:ascii="Times New Roman" w:hAnsi="Times New Roman"/>
                <w:sz w:val="24"/>
              </w:rPr>
              <w:t> </w:t>
            </w:r>
            <w:r w:rsidRPr="00B817D9">
              <w:rPr>
                <w:rFonts w:ascii="Times New Roman" w:hAnsi="Times New Roman"/>
                <w:sz w:val="24"/>
              </w:rPr>
              <w:t>575/2013.</w:t>
            </w:r>
          </w:p>
        </w:tc>
      </w:tr>
      <w:tr w:rsidR="00410E47" w:rsidRPr="00B817D9" w14:paraId="0FBB579D" w14:textId="77777777" w:rsidTr="00086398">
        <w:tc>
          <w:tcPr>
            <w:tcW w:w="1418" w:type="dxa"/>
          </w:tcPr>
          <w:p w14:paraId="28FDBFBD" w14:textId="613B5E03"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{0210;0020}</w:t>
            </w:r>
          </w:p>
        </w:tc>
        <w:tc>
          <w:tcPr>
            <w:tcW w:w="7620" w:type="dxa"/>
          </w:tcPr>
          <w:p w14:paraId="29B185C3" w14:textId="29929ECE"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Zabezpieczenie gotówkowe otrzymane</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tra</w:t>
            </w:r>
            <w:r w:rsidRPr="00B817D9">
              <w:rPr>
                <w:rFonts w:ascii="Times New Roman" w:hAnsi="Times New Roman"/>
                <w:b/>
                <w:sz w:val="24"/>
              </w:rPr>
              <w:t>nsakcjach na instrumentach pochodnych – wartość księgowa przy założeniu niestosowania kompensowania ani innego CRM</w:t>
            </w:r>
          </w:p>
          <w:p w14:paraId="39EDF297" w14:textId="6E41FD66" w:rsidR="00410E47" w:rsidRPr="00B817D9" w:rsidRDefault="00410E47" w:rsidP="000B66BC">
            <w:pPr>
              <w:pStyle w:val="BodyText1"/>
              <w:spacing w:after="240" w:line="240" w:lineRule="auto"/>
              <w:rPr>
                <w:rFonts w:ascii="Times New Roman" w:hAnsi="Times New Roman"/>
                <w:bCs/>
                <w:sz w:val="24"/>
                <w:szCs w:val="24"/>
              </w:rPr>
            </w:pPr>
            <w:r w:rsidRPr="00B817D9">
              <w:rPr>
                <w:rFonts w:ascii="Times New Roman" w:hAnsi="Times New Roman"/>
                <w:sz w:val="24"/>
              </w:rPr>
              <w:t>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zabezpieczenia gotówkowego otrzymanego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tra</w:t>
            </w:r>
            <w:r w:rsidRPr="00B817D9">
              <w:rPr>
                <w:rFonts w:ascii="Times New Roman" w:hAnsi="Times New Roman"/>
                <w:sz w:val="24"/>
              </w:rPr>
              <w:t>nsakcjach na instrumentach pochodnych, przy założeniu niestosowania kompensat księgowych ani innych efektów CRM (tj. należy rozwiązać wszelkie kwoty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pensat księgowych lub CRM, które miały wpływ na wartość księgową).</w:t>
            </w:r>
          </w:p>
          <w:p w14:paraId="2131D4BF" w14:textId="3F91A360" w:rsidR="00410E47" w:rsidRPr="00B817D9" w:rsidRDefault="00410E47" w:rsidP="00474B43">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sz w:val="24"/>
              </w:rPr>
              <w:t>Do celów tej komórki środki pieniężne definiuje się jako łączną kwotę środków pieniężnych,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monet</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ban</w:t>
            </w:r>
            <w:r w:rsidRPr="00B817D9">
              <w:rPr>
                <w:rFonts w:ascii="Times New Roman" w:hAnsi="Times New Roman"/>
                <w:sz w:val="24"/>
              </w:rPr>
              <w:t>knotów</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zczególnych walutach. Łączną kwotę depozytów utrzymywanych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ban</w:t>
            </w:r>
            <w:r w:rsidRPr="00B817D9">
              <w:rPr>
                <w:rFonts w:ascii="Times New Roman" w:hAnsi="Times New Roman"/>
                <w:sz w:val="24"/>
              </w:rPr>
              <w:t>kach centralnych uwzględnia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zak</w:t>
            </w:r>
            <w:r w:rsidRPr="00B817D9">
              <w:rPr>
                <w:rFonts w:ascii="Times New Roman" w:hAnsi="Times New Roman"/>
                <w:sz w:val="24"/>
              </w:rPr>
              <w:t>resie,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jak</w:t>
            </w:r>
            <w:r w:rsidRPr="00B817D9">
              <w:rPr>
                <w:rFonts w:ascii="Times New Roman" w:hAnsi="Times New Roman"/>
                <w:sz w:val="24"/>
              </w:rPr>
              <w:t>im możliwe jest wycofanie tych depozytów</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war</w:t>
            </w:r>
            <w:r w:rsidRPr="00B817D9">
              <w:rPr>
                <w:rFonts w:ascii="Times New Roman" w:hAnsi="Times New Roman"/>
                <w:sz w:val="24"/>
              </w:rPr>
              <w:t>unkach skrajnych. Instytucje nie zgłaszają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środków pieniężnych zdeponowanych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inn</w:t>
            </w:r>
            <w:r w:rsidRPr="00B817D9">
              <w:rPr>
                <w:rFonts w:ascii="Times New Roman" w:hAnsi="Times New Roman"/>
                <w:sz w:val="24"/>
              </w:rPr>
              <w:t>ych instytucjach.</w:t>
            </w:r>
          </w:p>
        </w:tc>
      </w:tr>
      <w:tr w:rsidR="00410E47" w:rsidRPr="00B817D9" w14:paraId="53DF6927" w14:textId="77777777" w:rsidTr="00086398">
        <w:tc>
          <w:tcPr>
            <w:tcW w:w="1418" w:type="dxa"/>
          </w:tcPr>
          <w:p w14:paraId="211CECAA" w14:textId="44AF7167"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{0220;0020}</w:t>
            </w:r>
          </w:p>
        </w:tc>
        <w:tc>
          <w:tcPr>
            <w:tcW w:w="7620" w:type="dxa"/>
          </w:tcPr>
          <w:p w14:paraId="6DB00C4C" w14:textId="0A12A06C"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Wierzytelności</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tyt</w:t>
            </w:r>
            <w:r w:rsidRPr="00B817D9">
              <w:rPr>
                <w:rFonts w:ascii="Times New Roman" w:hAnsi="Times New Roman"/>
                <w:b/>
                <w:sz w:val="24"/>
              </w:rPr>
              <w:t>ułu zabezpieczenia gotówkowego przekazanego</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ram</w:t>
            </w:r>
            <w:r w:rsidRPr="00B817D9">
              <w:rPr>
                <w:rFonts w:ascii="Times New Roman" w:hAnsi="Times New Roman"/>
                <w:b/>
                <w:sz w:val="24"/>
              </w:rPr>
              <w:t>ach transakcji na instrumentach pochodnych – wartość księgowa przy założeniu niestosowania kompensowania ani innego CRM</w:t>
            </w:r>
          </w:p>
          <w:p w14:paraId="7D33E862" w14:textId="74D2E6D0" w:rsidR="00474B43" w:rsidRPr="00B817D9" w:rsidRDefault="00410E47" w:rsidP="000B66BC">
            <w:pPr>
              <w:pStyle w:val="BodyText1"/>
              <w:spacing w:after="240" w:line="240" w:lineRule="auto"/>
              <w:rPr>
                <w:rFonts w:ascii="Times New Roman" w:hAnsi="Times New Roman"/>
                <w:sz w:val="24"/>
                <w:szCs w:val="24"/>
              </w:rPr>
            </w:pPr>
            <w:r w:rsidRPr="00B817D9">
              <w:rPr>
                <w:rFonts w:ascii="Times New Roman" w:hAnsi="Times New Roman"/>
                <w:sz w:val="24"/>
              </w:rPr>
              <w:t>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wierzytelności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zabezpieczenia gotówkowego przekazanego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transakcji na instrumentach pochodnych, przy założeniu niestosowania kompensat księgowych ani innych efektów CRM (tj. należy rozwiązać wszelkie kwoty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 xml:space="preserve">pensat księgowych lub CRM, które miały wpływ na wartość księgową). </w:t>
            </w:r>
          </w:p>
          <w:p w14:paraId="7CD00868" w14:textId="3D3E3527"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które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 mogą dokonać kompensaty wierzytelności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złożonego zabezpieczenia gotówkowego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ośnym zobowiązaniem będącym instrumentem pochodnym (ujemna wartość godziwa)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re decydują się tak postąpić, wycofują kompensatę</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zgł</w:t>
            </w:r>
            <w:r w:rsidRPr="00B817D9">
              <w:rPr>
                <w:rFonts w:ascii="Times New Roman" w:hAnsi="Times New Roman"/>
                <w:sz w:val="24"/>
              </w:rPr>
              <w:t>aszają wierzytelność gotówkową netto.</w:t>
            </w:r>
          </w:p>
        </w:tc>
      </w:tr>
      <w:tr w:rsidR="00410E47" w:rsidRPr="00B817D9" w14:paraId="56CCADD2" w14:textId="77777777" w:rsidTr="00086398">
        <w:tc>
          <w:tcPr>
            <w:tcW w:w="1418" w:type="dxa"/>
          </w:tcPr>
          <w:p w14:paraId="3CD1E23F" w14:textId="2F79B69D"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t>{0230;0020}</w:t>
            </w:r>
          </w:p>
        </w:tc>
        <w:tc>
          <w:tcPr>
            <w:tcW w:w="7620" w:type="dxa"/>
          </w:tcPr>
          <w:p w14:paraId="5AE16600" w14:textId="6EF14336" w:rsidR="00410E47" w:rsidRPr="00B817D9" w:rsidRDefault="00410E47"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Papiery wartościowe otrzymane</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ram</w:t>
            </w:r>
            <w:r w:rsidRPr="00B817D9">
              <w:rPr>
                <w:rFonts w:ascii="Times New Roman" w:hAnsi="Times New Roman"/>
                <w:b/>
                <w:sz w:val="24"/>
              </w:rPr>
              <w:t>ach transakcji ujmowane jako aktywa – wartość księgowa przy założeniu niestosowania kompensowania ani innego CRM</w:t>
            </w:r>
          </w:p>
          <w:p w14:paraId="28A4D6AF" w14:textId="103A910F" w:rsidR="00410E47" w:rsidRPr="00B817D9" w:rsidRDefault="00410E47" w:rsidP="00474B43">
            <w:pPr>
              <w:pStyle w:val="BodyText1"/>
              <w:spacing w:after="240" w:line="240" w:lineRule="auto"/>
              <w:rPr>
                <w:rFonts w:ascii="Times New Roman" w:hAnsi="Times New Roman"/>
                <w:b/>
                <w:bCs/>
                <w:sz w:val="24"/>
                <w:szCs w:val="24"/>
              </w:rPr>
            </w:pPr>
            <w:r w:rsidRPr="00B817D9">
              <w:rPr>
                <w:rFonts w:ascii="Times New Roman" w:hAnsi="Times New Roman"/>
                <w:sz w:val="24"/>
              </w:rPr>
              <w:t>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papierów wartościowych otrzymanych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SFT, które uznawane są jako aktywa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 xml:space="preserve">ach mających zastosowanie standardów rachunkowości przy założeniu niestosowania </w:t>
            </w:r>
            <w:r w:rsidRPr="00B817D9">
              <w:rPr>
                <w:rFonts w:ascii="Times New Roman" w:hAnsi="Times New Roman"/>
                <w:sz w:val="24"/>
              </w:rPr>
              <w:lastRenderedPageBreak/>
              <w:t>kompensat księgowych ani innych efektów CRM (tj. należy rozwiązać wszelkie kwoty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pensat księgowych lub CRM, które miały wpływ na wartość księgową).</w:t>
            </w:r>
          </w:p>
        </w:tc>
      </w:tr>
      <w:tr w:rsidR="00410E47" w:rsidRPr="00B817D9" w14:paraId="73AB9A4D" w14:textId="77777777" w:rsidTr="00086398">
        <w:tc>
          <w:tcPr>
            <w:tcW w:w="1418" w:type="dxa"/>
          </w:tcPr>
          <w:p w14:paraId="05353E9D" w14:textId="466C38AA" w:rsidR="00410E47" w:rsidRPr="00B817D9" w:rsidRDefault="00410E47" w:rsidP="000B66BC">
            <w:pPr>
              <w:pStyle w:val="BodyText1"/>
              <w:spacing w:after="240"/>
              <w:rPr>
                <w:rFonts w:ascii="Times New Roman" w:hAnsi="Times New Roman"/>
                <w:bCs/>
                <w:sz w:val="24"/>
                <w:szCs w:val="24"/>
              </w:rPr>
            </w:pPr>
            <w:r w:rsidRPr="00B817D9">
              <w:rPr>
                <w:rFonts w:ascii="Times New Roman" w:hAnsi="Times New Roman"/>
                <w:sz w:val="24"/>
              </w:rPr>
              <w:lastRenderedPageBreak/>
              <w:t>{0240;0020}</w:t>
            </w:r>
          </w:p>
        </w:tc>
        <w:tc>
          <w:tcPr>
            <w:tcW w:w="7620" w:type="dxa"/>
          </w:tcPr>
          <w:p w14:paraId="66AFC109" w14:textId="417B5A79" w:rsidR="00410E47" w:rsidRPr="00B817D9" w:rsidRDefault="00410E47"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Udzielanie kredytów gotówkowych przez spółkę pośredniczącą</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ram</w:t>
            </w:r>
            <w:r w:rsidRPr="00B817D9">
              <w:rPr>
                <w:rFonts w:ascii="Times New Roman" w:hAnsi="Times New Roman"/>
                <w:b/>
                <w:sz w:val="24"/>
              </w:rPr>
              <w:t>ach SFT (wierzytelności gotówkowe) – wartość księgowa przy założeniu niestosowania kompensowania ani innego CRM</w:t>
            </w:r>
          </w:p>
          <w:p w14:paraId="6B9D4FF6" w14:textId="04B505FD" w:rsidR="00410E47" w:rsidRPr="00B817D9" w:rsidRDefault="00410E47" w:rsidP="000B66BC">
            <w:pPr>
              <w:pStyle w:val="BodyText1"/>
              <w:tabs>
                <w:tab w:val="left" w:pos="4755"/>
              </w:tabs>
              <w:spacing w:after="240" w:line="240" w:lineRule="auto"/>
              <w:rPr>
                <w:rFonts w:ascii="Times New Roman" w:hAnsi="Times New Roman"/>
                <w:sz w:val="24"/>
                <w:szCs w:val="24"/>
              </w:rPr>
            </w:pPr>
            <w:r w:rsidRPr="00B817D9">
              <w:rPr>
                <w:rFonts w:ascii="Times New Roman" w:hAnsi="Times New Roman"/>
                <w:sz w:val="24"/>
              </w:rPr>
              <w:t>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wierzytelności gotówkowej</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środków pieniężnych przekazanych właścicielowi papierów wartościowych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for</w:t>
            </w:r>
            <w:r w:rsidRPr="00B817D9">
              <w:rPr>
                <w:rFonts w:ascii="Times New Roman" w:hAnsi="Times New Roman"/>
                <w:sz w:val="24"/>
              </w:rPr>
              <w:t>mie pożyczki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tok</w:t>
            </w:r>
            <w:r w:rsidRPr="00B817D9">
              <w:rPr>
                <w:rFonts w:ascii="Times New Roman" w:hAnsi="Times New Roman"/>
                <w:sz w:val="24"/>
              </w:rPr>
              <w:t>u kwalifikującej się transakcji udzielenia pożyczki gotówkowej przez spółkę pośredniczącą, przy założeniu niestosowania kompensat księgowych ani innych efektów CRM (tj. należy rozwiązać wszelkie kwoty wynikające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pensat księgowych lub CRM, które miały wpływ na wartość księgową).</w:t>
            </w:r>
          </w:p>
          <w:p w14:paraId="748B124D" w14:textId="2F460FEE" w:rsidR="00410E47" w:rsidRPr="00B817D9" w:rsidRDefault="00410E47" w:rsidP="000B66BC">
            <w:pPr>
              <w:pStyle w:val="BodyText1"/>
              <w:tabs>
                <w:tab w:val="left" w:pos="4755"/>
              </w:tabs>
              <w:spacing w:after="240" w:line="240" w:lineRule="auto"/>
              <w:rPr>
                <w:rFonts w:ascii="Times New Roman" w:hAnsi="Times New Roman"/>
                <w:sz w:val="24"/>
                <w:szCs w:val="24"/>
              </w:rPr>
            </w:pPr>
            <w:r w:rsidRPr="00B817D9">
              <w:rPr>
                <w:rFonts w:ascii="Times New Roman" w:hAnsi="Times New Roman"/>
                <w:sz w:val="24"/>
              </w:rPr>
              <w:t>Do celów tej komórki środki pieniężne definiuje się jako łączną kwotę środków pieniężnych,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monet</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ban</w:t>
            </w:r>
            <w:r w:rsidRPr="00B817D9">
              <w:rPr>
                <w:rFonts w:ascii="Times New Roman" w:hAnsi="Times New Roman"/>
                <w:sz w:val="24"/>
              </w:rPr>
              <w:t>knotów</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zczególnych walutach. Łączną kwotę depozytów utrzymywanych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ban</w:t>
            </w:r>
            <w:r w:rsidRPr="00B817D9">
              <w:rPr>
                <w:rFonts w:ascii="Times New Roman" w:hAnsi="Times New Roman"/>
                <w:sz w:val="24"/>
              </w:rPr>
              <w:t>kach centralnych uwzględnia się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zak</w:t>
            </w:r>
            <w:r w:rsidRPr="00B817D9">
              <w:rPr>
                <w:rFonts w:ascii="Times New Roman" w:hAnsi="Times New Roman"/>
                <w:sz w:val="24"/>
              </w:rPr>
              <w:t>resie,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jak</w:t>
            </w:r>
            <w:r w:rsidRPr="00B817D9">
              <w:rPr>
                <w:rFonts w:ascii="Times New Roman" w:hAnsi="Times New Roman"/>
                <w:sz w:val="24"/>
              </w:rPr>
              <w:t>im możliwe jest wycofanie tych depozytów</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war</w:t>
            </w:r>
            <w:r w:rsidRPr="00B817D9">
              <w:rPr>
                <w:rFonts w:ascii="Times New Roman" w:hAnsi="Times New Roman"/>
                <w:sz w:val="24"/>
              </w:rPr>
              <w:t>unkach skrajnych. Instytucje nie zgłaszają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komórce środków pieniężnych zdeponowanych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inn</w:t>
            </w:r>
            <w:r w:rsidRPr="00B817D9">
              <w:rPr>
                <w:rFonts w:ascii="Times New Roman" w:hAnsi="Times New Roman"/>
                <w:sz w:val="24"/>
              </w:rPr>
              <w:t>ych instytucjach.</w:t>
            </w:r>
          </w:p>
          <w:p w14:paraId="334DF029" w14:textId="73846CFD" w:rsidR="00410E47" w:rsidRPr="00B817D9" w:rsidRDefault="00410E47" w:rsidP="000B66BC">
            <w:pPr>
              <w:pStyle w:val="BodyText1"/>
              <w:tabs>
                <w:tab w:val="left" w:pos="4755"/>
              </w:tabs>
              <w:spacing w:after="240" w:line="240" w:lineRule="auto"/>
              <w:rPr>
                <w:rFonts w:ascii="Times New Roman" w:hAnsi="Times New Roman"/>
                <w:sz w:val="24"/>
                <w:szCs w:val="24"/>
              </w:rPr>
            </w:pPr>
            <w:r w:rsidRPr="00B817D9">
              <w:rPr>
                <w:rFonts w:ascii="Times New Roman" w:hAnsi="Times New Roman"/>
                <w:sz w:val="24"/>
              </w:rPr>
              <w:t>Transakcję udzielenia pożyczki gotówkowej przez spółkę pośredniczącą definiuje się jako połączenie dwóch rodzajów transakcji,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których instytucja pożycza papiery wartościowe od właściciela papierów wartościowych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w:t>
            </w:r>
            <w:r w:rsidR="00B817D9">
              <w:rPr>
                <w:rFonts w:ascii="Times New Roman" w:hAnsi="Times New Roman"/>
                <w:sz w:val="24"/>
              </w:rPr>
              <w:t> </w:t>
            </w:r>
            <w:r w:rsidR="00B817D9" w:rsidRPr="00B817D9">
              <w:rPr>
                <w:rFonts w:ascii="Times New Roman" w:hAnsi="Times New Roman"/>
                <w:sz w:val="24"/>
              </w:rPr>
              <w:t>for</w:t>
            </w:r>
            <w:r w:rsidRPr="00B817D9">
              <w:rPr>
                <w:rFonts w:ascii="Times New Roman" w:hAnsi="Times New Roman"/>
                <w:sz w:val="24"/>
              </w:rPr>
              <w:t>mie pożyczki przekazuje je pożyczkobiorcy papierów wartościowych. Instytucja równocześnie otrzymuje zabezpieczenie gotówkowe od pożyczkobiorcy papierów wartościowych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w:t>
            </w:r>
            <w:r w:rsidR="00B817D9">
              <w:rPr>
                <w:rFonts w:ascii="Times New Roman" w:hAnsi="Times New Roman"/>
                <w:sz w:val="24"/>
              </w:rPr>
              <w:t> </w:t>
            </w:r>
            <w:r w:rsidR="00B817D9" w:rsidRPr="00B817D9">
              <w:rPr>
                <w:rFonts w:ascii="Times New Roman" w:hAnsi="Times New Roman"/>
                <w:sz w:val="24"/>
              </w:rPr>
              <w:t>for</w:t>
            </w:r>
            <w:r w:rsidRPr="00B817D9">
              <w:rPr>
                <w:rFonts w:ascii="Times New Roman" w:hAnsi="Times New Roman"/>
                <w:sz w:val="24"/>
              </w:rPr>
              <w:t>mie pożyczki przekazuje otrzymane środki pieniężne właścicielowi papierów wartościowych. Kwalifikująca się transakcja udzielenia pożyczki gotówkowej przez spółkę pośredniczącą musi spełniać wszystkie następujące warunki:</w:t>
            </w:r>
          </w:p>
          <w:p w14:paraId="2544528C" w14:textId="5BACDC20" w:rsidR="00410E47" w:rsidRPr="00B817D9" w:rsidRDefault="00500508" w:rsidP="000B66BC">
            <w:pPr>
              <w:pStyle w:val="Paragraph"/>
              <w:spacing w:after="240"/>
              <w:ind w:left="794" w:hanging="794"/>
              <w:rPr>
                <w:rFonts w:ascii="Times New Roman" w:hAnsi="Times New Roman"/>
                <w:color w:val="000000"/>
                <w:sz w:val="24"/>
                <w:szCs w:val="24"/>
              </w:rPr>
            </w:pPr>
            <w:r w:rsidRPr="00B817D9">
              <w:rPr>
                <w:rFonts w:ascii="Times New Roman" w:hAnsi="Times New Roman"/>
                <w:color w:val="000000"/>
                <w:sz w:val="24"/>
              </w:rPr>
              <w:t>a)</w:t>
            </w:r>
            <w:r w:rsidRPr="00B817D9">
              <w:tab/>
            </w:r>
            <w:r w:rsidRPr="00B817D9">
              <w:rPr>
                <w:rFonts w:ascii="Times New Roman" w:hAnsi="Times New Roman"/>
                <w:color w:val="000000"/>
                <w:sz w:val="24"/>
              </w:rPr>
              <w:t>obie transakcje,</w:t>
            </w:r>
            <w:r w:rsidR="00B817D9" w:rsidRPr="00B817D9">
              <w:rPr>
                <w:rFonts w:ascii="Times New Roman" w:hAnsi="Times New Roman"/>
                <w:color w:val="000000"/>
                <w:sz w:val="24"/>
              </w:rPr>
              <w:t xml:space="preserve"> z</w:t>
            </w:r>
            <w:r w:rsidR="00B817D9">
              <w:rPr>
                <w:rFonts w:ascii="Times New Roman" w:hAnsi="Times New Roman"/>
                <w:color w:val="000000"/>
                <w:sz w:val="24"/>
              </w:rPr>
              <w:t> </w:t>
            </w:r>
            <w:r w:rsidR="00B817D9" w:rsidRPr="00B817D9">
              <w:rPr>
                <w:rFonts w:ascii="Times New Roman" w:hAnsi="Times New Roman"/>
                <w:color w:val="000000"/>
                <w:sz w:val="24"/>
              </w:rPr>
              <w:t>któ</w:t>
            </w:r>
            <w:r w:rsidRPr="00B817D9">
              <w:rPr>
                <w:rFonts w:ascii="Times New Roman" w:hAnsi="Times New Roman"/>
                <w:color w:val="000000"/>
                <w:sz w:val="24"/>
              </w:rPr>
              <w:t>rych składa się kwalifikująca się transakcja udzielenia pożyczki gotówkowej przez spółkę pośredniczącą, przeprowadzane są</w:t>
            </w:r>
            <w:r w:rsidR="00B817D9" w:rsidRPr="00B817D9">
              <w:rPr>
                <w:rFonts w:ascii="Times New Roman" w:hAnsi="Times New Roman"/>
                <w:color w:val="000000"/>
                <w:sz w:val="24"/>
              </w:rPr>
              <w:t xml:space="preserve"> w</w:t>
            </w:r>
            <w:r w:rsidR="00B817D9">
              <w:rPr>
                <w:rFonts w:ascii="Times New Roman" w:hAnsi="Times New Roman"/>
                <w:color w:val="000000"/>
                <w:sz w:val="24"/>
              </w:rPr>
              <w:t> </w:t>
            </w:r>
            <w:r w:rsidR="00B817D9" w:rsidRPr="00B817D9">
              <w:rPr>
                <w:rFonts w:ascii="Times New Roman" w:hAnsi="Times New Roman"/>
                <w:color w:val="000000"/>
                <w:sz w:val="24"/>
              </w:rPr>
              <w:t>tym</w:t>
            </w:r>
            <w:r w:rsidRPr="00B817D9">
              <w:rPr>
                <w:rFonts w:ascii="Times New Roman" w:hAnsi="Times New Roman"/>
                <w:color w:val="000000"/>
                <w:sz w:val="24"/>
              </w:rPr>
              <w:t xml:space="preserve"> samym dniu zawarcia transakcji lub,</w:t>
            </w:r>
            <w:r w:rsidR="00B817D9" w:rsidRPr="00B817D9">
              <w:rPr>
                <w:rFonts w:ascii="Times New Roman" w:hAnsi="Times New Roman"/>
                <w:color w:val="000000"/>
                <w:sz w:val="24"/>
              </w:rPr>
              <w:t xml:space="preserve"> w</w:t>
            </w:r>
            <w:r w:rsidR="00B817D9">
              <w:rPr>
                <w:rFonts w:ascii="Times New Roman" w:hAnsi="Times New Roman"/>
                <w:color w:val="000000"/>
                <w:sz w:val="24"/>
              </w:rPr>
              <w:t> </w:t>
            </w:r>
            <w:r w:rsidR="00B817D9" w:rsidRPr="00B817D9">
              <w:rPr>
                <w:rFonts w:ascii="Times New Roman" w:hAnsi="Times New Roman"/>
                <w:color w:val="000000"/>
                <w:sz w:val="24"/>
              </w:rPr>
              <w:t>prz</w:t>
            </w:r>
            <w:r w:rsidRPr="00B817D9">
              <w:rPr>
                <w:rFonts w:ascii="Times New Roman" w:hAnsi="Times New Roman"/>
                <w:color w:val="000000"/>
                <w:sz w:val="24"/>
              </w:rPr>
              <w:t>ypadku transakcji międzynarodowych,</w:t>
            </w:r>
            <w:r w:rsidR="00B817D9" w:rsidRPr="00B817D9">
              <w:rPr>
                <w:rFonts w:ascii="Times New Roman" w:hAnsi="Times New Roman"/>
                <w:color w:val="000000"/>
                <w:sz w:val="24"/>
              </w:rPr>
              <w:t xml:space="preserve"> w</w:t>
            </w:r>
            <w:r w:rsidR="00B817D9">
              <w:rPr>
                <w:rFonts w:ascii="Times New Roman" w:hAnsi="Times New Roman"/>
                <w:color w:val="000000"/>
                <w:sz w:val="24"/>
              </w:rPr>
              <w:t> </w:t>
            </w:r>
            <w:r w:rsidR="00B817D9" w:rsidRPr="00B817D9">
              <w:rPr>
                <w:rFonts w:ascii="Times New Roman" w:hAnsi="Times New Roman"/>
                <w:color w:val="000000"/>
                <w:sz w:val="24"/>
              </w:rPr>
              <w:t>nas</w:t>
            </w:r>
            <w:r w:rsidRPr="00B817D9">
              <w:rPr>
                <w:rFonts w:ascii="Times New Roman" w:hAnsi="Times New Roman"/>
                <w:color w:val="000000"/>
                <w:sz w:val="24"/>
              </w:rPr>
              <w:t>tępujących po sobie dniach roboczych;</w:t>
            </w:r>
          </w:p>
          <w:p w14:paraId="491F9748" w14:textId="14CC4DA1" w:rsidR="00410E47" w:rsidRPr="00B817D9" w:rsidRDefault="00500508" w:rsidP="000B66BC">
            <w:pPr>
              <w:pStyle w:val="Paragraph"/>
              <w:spacing w:after="240"/>
              <w:ind w:left="794" w:hanging="794"/>
              <w:rPr>
                <w:rFonts w:ascii="Times New Roman" w:hAnsi="Times New Roman"/>
                <w:color w:val="000000"/>
                <w:sz w:val="24"/>
                <w:szCs w:val="24"/>
              </w:rPr>
            </w:pPr>
            <w:r w:rsidRPr="00B817D9">
              <w:rPr>
                <w:rFonts w:ascii="Times New Roman" w:hAnsi="Times New Roman"/>
                <w:color w:val="000000"/>
                <w:sz w:val="24"/>
              </w:rPr>
              <w:t>b)</w:t>
            </w:r>
            <w:r w:rsidRPr="00B817D9">
              <w:tab/>
            </w:r>
            <w:r w:rsidRPr="00B817D9">
              <w:rPr>
                <w:rFonts w:ascii="Times New Roman" w:hAnsi="Times New Roman"/>
                <w:color w:val="000000"/>
                <w:sz w:val="24"/>
              </w:rPr>
              <w:t>w przypadku gdy dane transakcje nie określają terminu zapadalności, instytucja posiada prawo do zamknięcia transakcji udzielenia pożyczki gotówkowej po obu stronach, czyli obu transakcji, które ją tworzą,</w:t>
            </w:r>
            <w:r w:rsidR="00B817D9" w:rsidRPr="00B817D9">
              <w:rPr>
                <w:rFonts w:ascii="Times New Roman" w:hAnsi="Times New Roman"/>
                <w:color w:val="000000"/>
                <w:sz w:val="24"/>
              </w:rPr>
              <w:t xml:space="preserve"> w</w:t>
            </w:r>
            <w:r w:rsidR="00B817D9">
              <w:rPr>
                <w:rFonts w:ascii="Times New Roman" w:hAnsi="Times New Roman"/>
                <w:color w:val="000000"/>
                <w:sz w:val="24"/>
              </w:rPr>
              <w:t> </w:t>
            </w:r>
            <w:r w:rsidR="00B817D9" w:rsidRPr="00B817D9">
              <w:rPr>
                <w:rFonts w:ascii="Times New Roman" w:hAnsi="Times New Roman"/>
                <w:color w:val="000000"/>
                <w:sz w:val="24"/>
              </w:rPr>
              <w:t>dow</w:t>
            </w:r>
            <w:r w:rsidRPr="00B817D9">
              <w:rPr>
                <w:rFonts w:ascii="Times New Roman" w:hAnsi="Times New Roman"/>
                <w:color w:val="000000"/>
                <w:sz w:val="24"/>
              </w:rPr>
              <w:t>olnym momencie</w:t>
            </w:r>
            <w:r w:rsidR="00B817D9" w:rsidRPr="00B817D9">
              <w:rPr>
                <w:rFonts w:ascii="Times New Roman" w:hAnsi="Times New Roman"/>
                <w:color w:val="000000"/>
                <w:sz w:val="24"/>
              </w:rPr>
              <w:t xml:space="preserve"> i</w:t>
            </w:r>
            <w:r w:rsidR="00B817D9">
              <w:rPr>
                <w:rFonts w:ascii="Times New Roman" w:hAnsi="Times New Roman"/>
                <w:color w:val="000000"/>
                <w:sz w:val="24"/>
              </w:rPr>
              <w:t> </w:t>
            </w:r>
            <w:r w:rsidR="00B817D9" w:rsidRPr="00B817D9">
              <w:rPr>
                <w:rFonts w:ascii="Times New Roman" w:hAnsi="Times New Roman"/>
                <w:color w:val="000000"/>
                <w:sz w:val="24"/>
              </w:rPr>
              <w:t>bez</w:t>
            </w:r>
            <w:r w:rsidRPr="00B817D9">
              <w:rPr>
                <w:rFonts w:ascii="Times New Roman" w:hAnsi="Times New Roman"/>
                <w:color w:val="000000"/>
                <w:sz w:val="24"/>
              </w:rPr>
              <w:t xml:space="preserve"> uprzedzenia;</w:t>
            </w:r>
          </w:p>
          <w:p w14:paraId="5BFB7780" w14:textId="709CDD68" w:rsidR="00410E47" w:rsidRPr="00B817D9" w:rsidRDefault="00500508" w:rsidP="000B66BC">
            <w:pPr>
              <w:pStyle w:val="Paragraph"/>
              <w:spacing w:after="240"/>
              <w:ind w:left="794" w:hanging="794"/>
              <w:rPr>
                <w:rFonts w:ascii="Times New Roman" w:hAnsi="Times New Roman"/>
                <w:color w:val="000000"/>
                <w:sz w:val="24"/>
                <w:szCs w:val="24"/>
              </w:rPr>
            </w:pPr>
            <w:r w:rsidRPr="00B817D9">
              <w:rPr>
                <w:rFonts w:ascii="Times New Roman" w:hAnsi="Times New Roman"/>
                <w:color w:val="000000"/>
                <w:sz w:val="24"/>
              </w:rPr>
              <w:t>c)</w:t>
            </w:r>
            <w:r w:rsidRPr="00B817D9">
              <w:tab/>
            </w:r>
            <w:r w:rsidRPr="00B817D9">
              <w:rPr>
                <w:rFonts w:ascii="Times New Roman" w:hAnsi="Times New Roman"/>
                <w:color w:val="000000"/>
                <w:sz w:val="24"/>
              </w:rPr>
              <w:t xml:space="preserve">w przypadku gdy dane transakcje określają termin zapadalności, transakcja udzielenia pożyczki gotówkowej nie prowadzi do niedopasowania terminów zapadalności po stronie instytucji; instytucja posiada prawo do zamknięcia transakcji udzielenia </w:t>
            </w:r>
            <w:r w:rsidRPr="00B817D9">
              <w:rPr>
                <w:rFonts w:ascii="Times New Roman" w:hAnsi="Times New Roman"/>
                <w:color w:val="000000"/>
                <w:sz w:val="24"/>
              </w:rPr>
              <w:lastRenderedPageBreak/>
              <w:t>pożyczki gotówkowej po obu stronach, czyli obu transakcji, które ją tworzą,</w:t>
            </w:r>
            <w:r w:rsidR="00B817D9" w:rsidRPr="00B817D9">
              <w:rPr>
                <w:rFonts w:ascii="Times New Roman" w:hAnsi="Times New Roman"/>
                <w:color w:val="000000"/>
                <w:sz w:val="24"/>
              </w:rPr>
              <w:t xml:space="preserve"> w</w:t>
            </w:r>
            <w:r w:rsidR="00B817D9">
              <w:rPr>
                <w:rFonts w:ascii="Times New Roman" w:hAnsi="Times New Roman"/>
                <w:color w:val="000000"/>
                <w:sz w:val="24"/>
              </w:rPr>
              <w:t> </w:t>
            </w:r>
            <w:r w:rsidR="00B817D9" w:rsidRPr="00B817D9">
              <w:rPr>
                <w:rFonts w:ascii="Times New Roman" w:hAnsi="Times New Roman"/>
                <w:color w:val="000000"/>
                <w:sz w:val="24"/>
              </w:rPr>
              <w:t>dow</w:t>
            </w:r>
            <w:r w:rsidRPr="00B817D9">
              <w:rPr>
                <w:rFonts w:ascii="Times New Roman" w:hAnsi="Times New Roman"/>
                <w:color w:val="000000"/>
                <w:sz w:val="24"/>
              </w:rPr>
              <w:t>olnym momencie</w:t>
            </w:r>
            <w:r w:rsidR="00B817D9" w:rsidRPr="00B817D9">
              <w:rPr>
                <w:rFonts w:ascii="Times New Roman" w:hAnsi="Times New Roman"/>
                <w:color w:val="000000"/>
                <w:sz w:val="24"/>
              </w:rPr>
              <w:t xml:space="preserve"> i</w:t>
            </w:r>
            <w:r w:rsidR="00B817D9">
              <w:rPr>
                <w:rFonts w:ascii="Times New Roman" w:hAnsi="Times New Roman"/>
                <w:color w:val="000000"/>
                <w:sz w:val="24"/>
              </w:rPr>
              <w:t> </w:t>
            </w:r>
            <w:r w:rsidR="00B817D9" w:rsidRPr="00B817D9">
              <w:rPr>
                <w:rFonts w:ascii="Times New Roman" w:hAnsi="Times New Roman"/>
                <w:color w:val="000000"/>
                <w:sz w:val="24"/>
              </w:rPr>
              <w:t>bez</w:t>
            </w:r>
            <w:r w:rsidRPr="00B817D9">
              <w:rPr>
                <w:rFonts w:ascii="Times New Roman" w:hAnsi="Times New Roman"/>
                <w:color w:val="000000"/>
                <w:sz w:val="24"/>
              </w:rPr>
              <w:t xml:space="preserve"> uprzedzenia;</w:t>
            </w:r>
          </w:p>
          <w:p w14:paraId="62CD2905" w14:textId="1AEDC3DC" w:rsidR="00410E47" w:rsidRPr="00B817D9" w:rsidRDefault="00500508" w:rsidP="000B66BC">
            <w:pPr>
              <w:pStyle w:val="Paragraph"/>
              <w:spacing w:after="240"/>
              <w:ind w:left="794" w:hanging="794"/>
              <w:rPr>
                <w:rFonts w:ascii="Times New Roman" w:hAnsi="Times New Roman"/>
                <w:b/>
                <w:bCs/>
                <w:sz w:val="24"/>
                <w:szCs w:val="24"/>
              </w:rPr>
            </w:pPr>
            <w:r w:rsidRPr="00B817D9">
              <w:rPr>
                <w:rFonts w:ascii="Times New Roman" w:hAnsi="Times New Roman"/>
                <w:sz w:val="24"/>
              </w:rPr>
              <w:t>d)</w:t>
            </w:r>
            <w:r w:rsidRPr="00B817D9">
              <w:tab/>
            </w:r>
            <w:r w:rsidRPr="00B817D9">
              <w:rPr>
                <w:rFonts w:ascii="Times New Roman" w:hAnsi="Times New Roman"/>
                <w:sz w:val="24"/>
              </w:rPr>
              <w:t>transakcja udzielenia pożyczki gotówkowej przez spółkę pośredniczącą nie prowadzi do żadnej innej dodatkowej ekspozycji.</w:t>
            </w:r>
          </w:p>
        </w:tc>
      </w:tr>
      <w:tr w:rsidR="00142881" w:rsidRPr="00B817D9" w14:paraId="12EB77F9" w14:textId="77777777" w:rsidTr="003B3824">
        <w:tc>
          <w:tcPr>
            <w:tcW w:w="1418" w:type="dxa"/>
          </w:tcPr>
          <w:p w14:paraId="2EC98E8B" w14:textId="4055F8C1" w:rsidR="00142881" w:rsidRPr="00B817D9" w:rsidRDefault="00142881" w:rsidP="000B66BC">
            <w:pPr>
              <w:pStyle w:val="BodyText1"/>
              <w:spacing w:after="240"/>
              <w:rPr>
                <w:rFonts w:ascii="Times New Roman" w:hAnsi="Times New Roman"/>
                <w:bCs/>
                <w:sz w:val="24"/>
                <w:szCs w:val="24"/>
              </w:rPr>
            </w:pPr>
            <w:bookmarkStart w:id="57" w:name="_Toc322687882"/>
            <w:bookmarkEnd w:id="52"/>
            <w:r w:rsidRPr="00B817D9">
              <w:rPr>
                <w:rFonts w:ascii="Times New Roman" w:hAnsi="Times New Roman"/>
                <w:sz w:val="24"/>
              </w:rPr>
              <w:lastRenderedPageBreak/>
              <w:t>{0270;0010}</w:t>
            </w:r>
          </w:p>
        </w:tc>
        <w:tc>
          <w:tcPr>
            <w:tcW w:w="7620" w:type="dxa"/>
          </w:tcPr>
          <w:p w14:paraId="056E429E" w14:textId="1C4A54EB" w:rsidR="00142881" w:rsidRPr="00B817D9" w:rsidRDefault="00142881"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Inwestycje sektora publicznego – należności od rządów centralnych – księgowa wartość bilansowa</w:t>
            </w:r>
          </w:p>
          <w:p w14:paraId="62173A01" w14:textId="27B28230" w:rsidR="00474B43" w:rsidRPr="00B817D9" w:rsidRDefault="00142881"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aktywów, które stanowią należności od rządów centralnych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inw</w:t>
            </w:r>
            <w:r w:rsidRPr="00B817D9">
              <w:rPr>
                <w:rFonts w:ascii="Times New Roman" w:hAnsi="Times New Roman"/>
                <w:sz w:val="24"/>
              </w:rPr>
              <w:t xml:space="preserve">estycjami sektora publicznego. </w:t>
            </w:r>
          </w:p>
          <w:p w14:paraId="4B86F17F" w14:textId="43BF0789" w:rsidR="00142881" w:rsidRPr="00B817D9" w:rsidRDefault="007A5EF2" w:rsidP="000B66BC">
            <w:pPr>
              <w:pStyle w:val="BodyText1"/>
              <w:spacing w:after="240" w:line="240" w:lineRule="auto"/>
              <w:rPr>
                <w:rFonts w:ascii="Times New Roman" w:hAnsi="Times New Roman"/>
                <w:b/>
                <w:bCs/>
                <w:sz w:val="24"/>
                <w:szCs w:val="24"/>
              </w:rPr>
            </w:pPr>
            <w:r w:rsidRPr="00B817D9">
              <w:rPr>
                <w:rFonts w:ascii="Times New Roman" w:hAnsi="Times New Roman"/>
                <w:sz w:val="24"/>
              </w:rPr>
              <w:t>Należy również uwzględnić księgowe wartości bilansowe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142881" w:rsidRPr="00B817D9" w14:paraId="65A561BA" w14:textId="77777777" w:rsidTr="003B3824">
        <w:tc>
          <w:tcPr>
            <w:tcW w:w="1418" w:type="dxa"/>
          </w:tcPr>
          <w:p w14:paraId="6E6645F9" w14:textId="7051B924" w:rsidR="00142881" w:rsidRPr="00B817D9" w:rsidRDefault="00142881" w:rsidP="000B66BC">
            <w:pPr>
              <w:pStyle w:val="BodyText1"/>
              <w:spacing w:after="240"/>
              <w:rPr>
                <w:rFonts w:ascii="Times New Roman" w:hAnsi="Times New Roman"/>
                <w:bCs/>
                <w:sz w:val="24"/>
                <w:szCs w:val="24"/>
              </w:rPr>
            </w:pPr>
            <w:r w:rsidRPr="00B817D9">
              <w:rPr>
                <w:rFonts w:ascii="Times New Roman" w:hAnsi="Times New Roman"/>
                <w:sz w:val="24"/>
              </w:rPr>
              <w:t>{0280;0010}</w:t>
            </w:r>
          </w:p>
        </w:tc>
        <w:tc>
          <w:tcPr>
            <w:tcW w:w="7620" w:type="dxa"/>
          </w:tcPr>
          <w:p w14:paraId="64975C56" w14:textId="4DD757EC" w:rsidR="00142881" w:rsidRPr="00B817D9" w:rsidRDefault="00142881"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Inwestycje sektora publicznego – należności od samorządów regionalnych – księgowa wartość bilansowa</w:t>
            </w:r>
          </w:p>
          <w:p w14:paraId="13E2AB70" w14:textId="611DAFAB" w:rsidR="006E4F4E" w:rsidRPr="00B817D9" w:rsidRDefault="00142881" w:rsidP="000B66BC">
            <w:pPr>
              <w:pStyle w:val="BodyText1"/>
              <w:tabs>
                <w:tab w:val="left" w:pos="4755"/>
              </w:tabs>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aktywów, które stanowią należności od samorządów regionalnych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inw</w:t>
            </w:r>
            <w:r w:rsidRPr="00B817D9">
              <w:rPr>
                <w:rFonts w:ascii="Times New Roman" w:hAnsi="Times New Roman"/>
                <w:sz w:val="24"/>
              </w:rPr>
              <w:t xml:space="preserve">estycjami sektora publicznego. </w:t>
            </w:r>
          </w:p>
          <w:p w14:paraId="440096C8" w14:textId="12F4FC85" w:rsidR="00142881" w:rsidRPr="00B817D9" w:rsidRDefault="007A5EF2" w:rsidP="006E4F4E">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sz w:val="24"/>
              </w:rPr>
              <w:t>Należy również uwzględnić księgowe wartości bilansowe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142881" w:rsidRPr="00B817D9" w14:paraId="178B01CC" w14:textId="77777777" w:rsidTr="003B3824">
        <w:tc>
          <w:tcPr>
            <w:tcW w:w="1418" w:type="dxa"/>
          </w:tcPr>
          <w:p w14:paraId="14A30C11" w14:textId="09FC39C8" w:rsidR="00142881" w:rsidRPr="00B817D9" w:rsidRDefault="00142881" w:rsidP="000B66BC">
            <w:pPr>
              <w:pStyle w:val="BodyText1"/>
              <w:spacing w:after="240"/>
              <w:rPr>
                <w:rFonts w:ascii="Times New Roman" w:hAnsi="Times New Roman"/>
                <w:bCs/>
                <w:sz w:val="24"/>
                <w:szCs w:val="24"/>
              </w:rPr>
            </w:pPr>
            <w:r w:rsidRPr="00B817D9">
              <w:rPr>
                <w:rFonts w:ascii="Times New Roman" w:hAnsi="Times New Roman"/>
                <w:sz w:val="24"/>
              </w:rPr>
              <w:t>{0290;0010}</w:t>
            </w:r>
          </w:p>
        </w:tc>
        <w:tc>
          <w:tcPr>
            <w:tcW w:w="7620" w:type="dxa"/>
          </w:tcPr>
          <w:p w14:paraId="4E12A671" w14:textId="20EE5DA6" w:rsidR="00142881" w:rsidRPr="00B817D9" w:rsidRDefault="00142881"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Inwestycje sektora publicznego – należności od władz lokalnych – księgowa wartość bilansowa</w:t>
            </w:r>
          </w:p>
          <w:p w14:paraId="1993F59B" w14:textId="6B186871" w:rsidR="006E4F4E" w:rsidRPr="00B817D9" w:rsidRDefault="00142881" w:rsidP="000B66BC">
            <w:pPr>
              <w:pStyle w:val="BodyText1"/>
              <w:tabs>
                <w:tab w:val="left" w:pos="4755"/>
              </w:tabs>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aktywów, które stanowią należności od władz lokalnych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inw</w:t>
            </w:r>
            <w:r w:rsidRPr="00B817D9">
              <w:rPr>
                <w:rFonts w:ascii="Times New Roman" w:hAnsi="Times New Roman"/>
                <w:sz w:val="24"/>
              </w:rPr>
              <w:t>estycjami sektora publicznego.</w:t>
            </w:r>
          </w:p>
          <w:p w14:paraId="3AEC5523" w14:textId="67A244A0" w:rsidR="00142881" w:rsidRPr="00B817D9" w:rsidRDefault="007A5EF2" w:rsidP="006E4F4E">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sz w:val="24"/>
              </w:rPr>
              <w:t>Należy również uwzględnić księgowe wartości bilansowe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142881" w:rsidRPr="00B817D9" w14:paraId="6B4A4FFD" w14:textId="77777777" w:rsidTr="003B3824">
        <w:tc>
          <w:tcPr>
            <w:tcW w:w="1418" w:type="dxa"/>
          </w:tcPr>
          <w:p w14:paraId="4AD0C008" w14:textId="06F13C4A" w:rsidR="00142881" w:rsidRPr="00B817D9" w:rsidRDefault="00142881" w:rsidP="000B66BC">
            <w:pPr>
              <w:pStyle w:val="BodyText1"/>
              <w:spacing w:after="240"/>
              <w:rPr>
                <w:rFonts w:ascii="Times New Roman" w:hAnsi="Times New Roman"/>
                <w:bCs/>
                <w:sz w:val="24"/>
                <w:szCs w:val="24"/>
              </w:rPr>
            </w:pPr>
            <w:r w:rsidRPr="00B817D9">
              <w:rPr>
                <w:rFonts w:ascii="Times New Roman" w:hAnsi="Times New Roman"/>
                <w:sz w:val="24"/>
              </w:rPr>
              <w:t>{0300;0010}</w:t>
            </w:r>
          </w:p>
        </w:tc>
        <w:tc>
          <w:tcPr>
            <w:tcW w:w="7620" w:type="dxa"/>
          </w:tcPr>
          <w:p w14:paraId="00BE052E" w14:textId="3ADFA117" w:rsidR="00142881" w:rsidRPr="00B817D9" w:rsidRDefault="00142881" w:rsidP="000B66BC">
            <w:pPr>
              <w:pStyle w:val="BodyText1"/>
              <w:tabs>
                <w:tab w:val="left" w:pos="4755"/>
              </w:tabs>
              <w:spacing w:after="240" w:line="240" w:lineRule="auto"/>
              <w:rPr>
                <w:rFonts w:ascii="Times New Roman" w:hAnsi="Times New Roman"/>
                <w:color w:val="auto"/>
                <w:sz w:val="24"/>
                <w:szCs w:val="24"/>
              </w:rPr>
            </w:pPr>
            <w:r w:rsidRPr="00B817D9">
              <w:rPr>
                <w:rFonts w:ascii="Times New Roman" w:hAnsi="Times New Roman"/>
                <w:b/>
                <w:sz w:val="24"/>
              </w:rPr>
              <w:t>Inwestycje sektora publicznego – należności od podmiotów sektora publicznego – księgowa wartość bilansowa</w:t>
            </w:r>
          </w:p>
          <w:p w14:paraId="4C818D07" w14:textId="2C9BD27A" w:rsidR="006E4F4E" w:rsidRPr="00B817D9" w:rsidRDefault="00142881" w:rsidP="000B66BC">
            <w:pPr>
              <w:pStyle w:val="BodyText1"/>
              <w:tabs>
                <w:tab w:val="left" w:pos="4755"/>
              </w:tabs>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aktywów, które stanowią należności od podmiotów sektora publicznego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inw</w:t>
            </w:r>
            <w:r w:rsidRPr="00B817D9">
              <w:rPr>
                <w:rFonts w:ascii="Times New Roman" w:hAnsi="Times New Roman"/>
                <w:sz w:val="24"/>
              </w:rPr>
              <w:t>estycjami sektora publicznego.</w:t>
            </w:r>
          </w:p>
          <w:p w14:paraId="7115C598" w14:textId="3517E341" w:rsidR="00142881" w:rsidRPr="00B817D9" w:rsidRDefault="007A5EF2" w:rsidP="006E4F4E">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sz w:val="24"/>
              </w:rPr>
              <w:lastRenderedPageBreak/>
              <w:t>Należy również uwzględnić księgowe wartości bilansowe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D126C3" w:rsidRPr="00B817D9"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B817D9" w:rsidRDefault="00D126C3" w:rsidP="000B66BC">
            <w:pPr>
              <w:pStyle w:val="BodyText1"/>
              <w:spacing w:after="240"/>
              <w:rPr>
                <w:rFonts w:ascii="Times New Roman" w:hAnsi="Times New Roman"/>
                <w:bCs/>
                <w:sz w:val="24"/>
                <w:szCs w:val="24"/>
              </w:rPr>
            </w:pPr>
            <w:r w:rsidRPr="00B817D9">
              <w:rPr>
                <w:rFonts w:ascii="Times New Roman" w:hAnsi="Times New Roman"/>
                <w:sz w:val="24"/>
              </w:rPr>
              <w:lastRenderedPageBreak/>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B817D9" w:rsidRDefault="00D126C3"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Kredyty preferencyjne – należności od rządów centralnych – księgowa wartość bilansowa</w:t>
            </w:r>
          </w:p>
          <w:p w14:paraId="23369FCD" w14:textId="13EF5FAB" w:rsidR="006E4F4E" w:rsidRPr="00B817D9" w:rsidRDefault="00D126C3" w:rsidP="000B66BC">
            <w:pPr>
              <w:pStyle w:val="BodyText1"/>
              <w:tabs>
                <w:tab w:val="left" w:pos="4755"/>
              </w:tabs>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aktywów, które stanowią należności od rządów centralnych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kre</w:t>
            </w:r>
            <w:r w:rsidRPr="00B817D9">
              <w:rPr>
                <w:rFonts w:ascii="Times New Roman" w:hAnsi="Times New Roman"/>
                <w:sz w:val="24"/>
              </w:rPr>
              <w:t xml:space="preserve">dytami preferencyjnymi. </w:t>
            </w:r>
          </w:p>
          <w:p w14:paraId="57D9B72D" w14:textId="7A60F3DE" w:rsidR="00D126C3" w:rsidRPr="00B817D9" w:rsidRDefault="00D126C3" w:rsidP="006E4F4E">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sz w:val="24"/>
              </w:rPr>
              <w:t>Należy również uwzględnić księgowe wartości bilansowe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1E5A9A" w:rsidRPr="00B817D9" w14:paraId="31EDB1F9" w14:textId="77777777" w:rsidTr="00E631B4">
        <w:tc>
          <w:tcPr>
            <w:tcW w:w="1418" w:type="dxa"/>
          </w:tcPr>
          <w:p w14:paraId="1988C1B5" w14:textId="4DEDEE5A" w:rsidR="001E5A9A" w:rsidRPr="00B817D9" w:rsidRDefault="001E5A9A" w:rsidP="000B66BC">
            <w:pPr>
              <w:pStyle w:val="BodyText1"/>
              <w:spacing w:after="240"/>
              <w:rPr>
                <w:rFonts w:ascii="Times New Roman" w:hAnsi="Times New Roman"/>
                <w:bCs/>
                <w:sz w:val="24"/>
                <w:szCs w:val="24"/>
              </w:rPr>
            </w:pPr>
            <w:r w:rsidRPr="00B817D9">
              <w:rPr>
                <w:rFonts w:ascii="Times New Roman" w:hAnsi="Times New Roman"/>
                <w:sz w:val="24"/>
              </w:rPr>
              <w:t>{0310;0070}</w:t>
            </w:r>
          </w:p>
        </w:tc>
        <w:tc>
          <w:tcPr>
            <w:tcW w:w="7620" w:type="dxa"/>
          </w:tcPr>
          <w:p w14:paraId="63C478B7" w14:textId="76F217EB" w:rsidR="001E5A9A" w:rsidRPr="00B817D9" w:rsidRDefault="001E5A9A" w:rsidP="000B66BC">
            <w:pPr>
              <w:pStyle w:val="BodyText1"/>
              <w:tabs>
                <w:tab w:val="left" w:pos="4755"/>
              </w:tabs>
              <w:spacing w:after="240" w:line="240" w:lineRule="auto"/>
              <w:rPr>
                <w:rFonts w:ascii="Times New Roman" w:hAnsi="Times New Roman"/>
                <w:color w:val="auto"/>
                <w:sz w:val="24"/>
                <w:szCs w:val="24"/>
              </w:rPr>
            </w:pPr>
            <w:r w:rsidRPr="00B817D9">
              <w:rPr>
                <w:rFonts w:ascii="Times New Roman" w:hAnsi="Times New Roman"/>
                <w:b/>
                <w:sz w:val="24"/>
              </w:rPr>
              <w:t>Kredyty preferencyjne – należności od rządów centralnych – kwota referencyjna/wartość nominalna</w:t>
            </w:r>
          </w:p>
          <w:p w14:paraId="7A0E36C1" w14:textId="48BE0257" w:rsidR="006E4F4E" w:rsidRPr="00B817D9" w:rsidRDefault="001E5A9A"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kwota referencyjna pozycji pozabilansowych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wykorzystaną częścią kredytów preferencyjnych udzielonych rządom centralnym.</w:t>
            </w:r>
          </w:p>
          <w:p w14:paraId="60CCF55C" w14:textId="59183E2D" w:rsidR="001E5A9A" w:rsidRPr="00B817D9" w:rsidRDefault="001E5A9A" w:rsidP="006E4F4E">
            <w:pPr>
              <w:pStyle w:val="BodyText1"/>
              <w:spacing w:after="240" w:line="240" w:lineRule="auto"/>
              <w:rPr>
                <w:rFonts w:ascii="Times New Roman" w:hAnsi="Times New Roman"/>
                <w:b/>
                <w:bCs/>
                <w:sz w:val="24"/>
                <w:szCs w:val="24"/>
              </w:rPr>
            </w:pPr>
            <w:r w:rsidRPr="00B817D9">
              <w:rPr>
                <w:rFonts w:ascii="Times New Roman" w:hAnsi="Times New Roman"/>
                <w:sz w:val="24"/>
              </w:rPr>
              <w:t>Należy również uwzględnić kwoty referencyjne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D126C3" w:rsidRPr="00B817D9"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B817D9" w:rsidRDefault="00D126C3" w:rsidP="000B66BC">
            <w:pPr>
              <w:pStyle w:val="BodyText1"/>
              <w:spacing w:after="240"/>
              <w:rPr>
                <w:rFonts w:ascii="Times New Roman" w:hAnsi="Times New Roman"/>
                <w:bCs/>
                <w:sz w:val="24"/>
                <w:szCs w:val="24"/>
              </w:rPr>
            </w:pPr>
            <w:r w:rsidRPr="00B817D9">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B817D9" w:rsidRDefault="003B79B4"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Kredyty preferencyjne – należności od samorządów regionalnych – księgowa wartość bilansowa</w:t>
            </w:r>
          </w:p>
          <w:p w14:paraId="23DFAEA6" w14:textId="278CCB11" w:rsidR="006E4F4E" w:rsidRPr="00B817D9" w:rsidRDefault="00D126C3" w:rsidP="006E4F4E">
            <w:pPr>
              <w:pStyle w:val="BodyText1"/>
              <w:tabs>
                <w:tab w:val="left" w:pos="4755"/>
              </w:tabs>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aktywów, które stanowią należności od samorządów regionalnych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kre</w:t>
            </w:r>
            <w:r w:rsidRPr="00B817D9">
              <w:rPr>
                <w:rFonts w:ascii="Times New Roman" w:hAnsi="Times New Roman"/>
                <w:sz w:val="24"/>
              </w:rPr>
              <w:t>dytami preferencyjnymi.</w:t>
            </w:r>
          </w:p>
          <w:p w14:paraId="5822DF0E" w14:textId="4CA86762" w:rsidR="00D126C3" w:rsidRPr="00B817D9" w:rsidRDefault="00D126C3" w:rsidP="006918E9">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sz w:val="24"/>
              </w:rPr>
              <w:t>Należy również uwzględnić księgowe wartości bilansowe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1943A2" w:rsidRPr="00B817D9" w14:paraId="44874BFB" w14:textId="77777777" w:rsidTr="00E631B4">
        <w:tc>
          <w:tcPr>
            <w:tcW w:w="1418" w:type="dxa"/>
          </w:tcPr>
          <w:p w14:paraId="79CADF8F" w14:textId="0B21C100" w:rsidR="001943A2" w:rsidRPr="00B817D9" w:rsidRDefault="001943A2" w:rsidP="000B66BC">
            <w:pPr>
              <w:pStyle w:val="BodyText1"/>
              <w:spacing w:after="240"/>
              <w:rPr>
                <w:rFonts w:ascii="Times New Roman" w:hAnsi="Times New Roman"/>
                <w:bCs/>
                <w:sz w:val="24"/>
                <w:szCs w:val="24"/>
              </w:rPr>
            </w:pPr>
            <w:r w:rsidRPr="00B817D9">
              <w:rPr>
                <w:rFonts w:ascii="Times New Roman" w:hAnsi="Times New Roman"/>
                <w:sz w:val="24"/>
              </w:rPr>
              <w:t>{0320;0070}</w:t>
            </w:r>
          </w:p>
        </w:tc>
        <w:tc>
          <w:tcPr>
            <w:tcW w:w="7620" w:type="dxa"/>
          </w:tcPr>
          <w:p w14:paraId="5C83E384" w14:textId="76BED22D" w:rsidR="001943A2" w:rsidRPr="00B817D9" w:rsidRDefault="001943A2" w:rsidP="000B66BC">
            <w:pPr>
              <w:pStyle w:val="BodyText1"/>
              <w:tabs>
                <w:tab w:val="left" w:pos="4755"/>
              </w:tabs>
              <w:spacing w:after="240" w:line="240" w:lineRule="auto"/>
              <w:rPr>
                <w:rFonts w:ascii="Times New Roman" w:hAnsi="Times New Roman"/>
                <w:color w:val="auto"/>
                <w:sz w:val="24"/>
                <w:szCs w:val="24"/>
              </w:rPr>
            </w:pPr>
            <w:r w:rsidRPr="00B817D9">
              <w:rPr>
                <w:rFonts w:ascii="Times New Roman" w:hAnsi="Times New Roman"/>
                <w:b/>
                <w:sz w:val="24"/>
              </w:rPr>
              <w:t>Kredyty preferencyjne – należności od samorządów regionalnych – kwota referencyjna/wartość nominalna</w:t>
            </w:r>
          </w:p>
          <w:p w14:paraId="645C841D" w14:textId="7D9B374B" w:rsidR="006918E9" w:rsidRPr="00B817D9" w:rsidRDefault="001943A2"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kwota referencyjna pozycji pozabilansowych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wykorzystaną częścią kredytów preferencyjnych udzielonych samorządom regionalnym.</w:t>
            </w:r>
          </w:p>
          <w:p w14:paraId="2D66318A" w14:textId="0E1BDCB6" w:rsidR="000A486B" w:rsidRPr="00B817D9" w:rsidRDefault="001943A2" w:rsidP="006918E9">
            <w:pPr>
              <w:pStyle w:val="BodyText1"/>
              <w:spacing w:after="240" w:line="240" w:lineRule="auto"/>
              <w:rPr>
                <w:rFonts w:ascii="Times New Roman" w:hAnsi="Times New Roman"/>
                <w:b/>
                <w:bCs/>
                <w:sz w:val="24"/>
                <w:szCs w:val="24"/>
              </w:rPr>
            </w:pPr>
            <w:r w:rsidRPr="00B817D9">
              <w:rPr>
                <w:rFonts w:ascii="Times New Roman" w:hAnsi="Times New Roman"/>
                <w:sz w:val="24"/>
              </w:rPr>
              <w:t>Należy również uwzględnić kwoty referencyjne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D126C3" w:rsidRPr="00B817D9"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B817D9" w:rsidRDefault="00D126C3" w:rsidP="000B66BC">
            <w:pPr>
              <w:pStyle w:val="BodyText1"/>
              <w:spacing w:after="240"/>
              <w:rPr>
                <w:rFonts w:ascii="Times New Roman" w:hAnsi="Times New Roman"/>
                <w:bCs/>
                <w:sz w:val="24"/>
                <w:szCs w:val="24"/>
              </w:rPr>
            </w:pPr>
            <w:r w:rsidRPr="00B817D9">
              <w:rPr>
                <w:rFonts w:ascii="Times New Roman" w:hAnsi="Times New Roman"/>
                <w:sz w:val="24"/>
              </w:rPr>
              <w:lastRenderedPageBreak/>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B817D9" w:rsidRDefault="00D126C3"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Kredyty preferencyjne – należności od władz lokalnych – księgowa wartość bilansowa</w:t>
            </w:r>
          </w:p>
          <w:p w14:paraId="04327041" w14:textId="1A5A75F0" w:rsidR="006918E9" w:rsidRPr="00B817D9" w:rsidRDefault="00D126C3" w:rsidP="000B66BC">
            <w:pPr>
              <w:pStyle w:val="BodyText1"/>
              <w:tabs>
                <w:tab w:val="left" w:pos="4755"/>
              </w:tabs>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aktywów, które stanowią należności od władz lokalnych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kre</w:t>
            </w:r>
            <w:r w:rsidRPr="00B817D9">
              <w:rPr>
                <w:rFonts w:ascii="Times New Roman" w:hAnsi="Times New Roman"/>
                <w:sz w:val="24"/>
              </w:rPr>
              <w:t>dytami preferencyjnymi.</w:t>
            </w:r>
          </w:p>
          <w:p w14:paraId="3B5B1EC0" w14:textId="000A753D" w:rsidR="00D126C3" w:rsidRPr="00B817D9" w:rsidRDefault="00D126C3" w:rsidP="006918E9">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sz w:val="24"/>
              </w:rPr>
              <w:t>Należy również uwzględnić księgowe wartości bilansowe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1943A2" w:rsidRPr="00B817D9" w14:paraId="0ABE486A" w14:textId="77777777" w:rsidTr="00E631B4">
        <w:tc>
          <w:tcPr>
            <w:tcW w:w="1418" w:type="dxa"/>
          </w:tcPr>
          <w:p w14:paraId="6A69EE0F" w14:textId="4A68D204" w:rsidR="001943A2" w:rsidRPr="00B817D9" w:rsidRDefault="001943A2" w:rsidP="000B66BC">
            <w:pPr>
              <w:pStyle w:val="BodyText1"/>
              <w:spacing w:after="240"/>
              <w:rPr>
                <w:rFonts w:ascii="Times New Roman" w:hAnsi="Times New Roman"/>
                <w:bCs/>
                <w:sz w:val="24"/>
                <w:szCs w:val="24"/>
              </w:rPr>
            </w:pPr>
            <w:r w:rsidRPr="00B817D9">
              <w:rPr>
                <w:rFonts w:ascii="Times New Roman" w:hAnsi="Times New Roman"/>
                <w:sz w:val="24"/>
              </w:rPr>
              <w:t>{0330;0070}</w:t>
            </w:r>
          </w:p>
        </w:tc>
        <w:tc>
          <w:tcPr>
            <w:tcW w:w="7620" w:type="dxa"/>
          </w:tcPr>
          <w:p w14:paraId="0211D136" w14:textId="747BD7FE" w:rsidR="001943A2" w:rsidRPr="00B817D9" w:rsidRDefault="001943A2" w:rsidP="000B66BC">
            <w:pPr>
              <w:pStyle w:val="BodyText1"/>
              <w:tabs>
                <w:tab w:val="left" w:pos="4755"/>
              </w:tabs>
              <w:spacing w:after="240" w:line="240" w:lineRule="auto"/>
              <w:rPr>
                <w:rFonts w:ascii="Times New Roman" w:hAnsi="Times New Roman"/>
                <w:color w:val="auto"/>
                <w:sz w:val="24"/>
                <w:szCs w:val="24"/>
              </w:rPr>
            </w:pPr>
            <w:r w:rsidRPr="00B817D9">
              <w:rPr>
                <w:rFonts w:ascii="Times New Roman" w:hAnsi="Times New Roman"/>
                <w:b/>
                <w:sz w:val="24"/>
              </w:rPr>
              <w:t>Kredyty preferencyjne – należności od władz lokalnych – kwota referencyjna/wartość nominalna</w:t>
            </w:r>
          </w:p>
          <w:p w14:paraId="38BCF0DC" w14:textId="079ACDEB" w:rsidR="006918E9" w:rsidRPr="00B817D9" w:rsidRDefault="001943A2"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kwota referencyjna pozycji pozabilansowych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wykorzystaną częścią kredytów preferencyjnych udzielonych władzom lokalnym.</w:t>
            </w:r>
          </w:p>
          <w:p w14:paraId="4054A803" w14:textId="5952BDD1" w:rsidR="001943A2" w:rsidRPr="00B817D9" w:rsidRDefault="001943A2" w:rsidP="000B66BC">
            <w:pPr>
              <w:pStyle w:val="BodyText1"/>
              <w:spacing w:after="240" w:line="240" w:lineRule="auto"/>
              <w:rPr>
                <w:rFonts w:ascii="Times New Roman" w:hAnsi="Times New Roman"/>
                <w:b/>
                <w:bCs/>
                <w:sz w:val="24"/>
                <w:szCs w:val="24"/>
              </w:rPr>
            </w:pPr>
            <w:r w:rsidRPr="00B817D9">
              <w:rPr>
                <w:rFonts w:ascii="Times New Roman" w:hAnsi="Times New Roman"/>
                <w:sz w:val="24"/>
              </w:rPr>
              <w:t>Należy również uwzględnić kwoty referencyjne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D126C3" w:rsidRPr="00B817D9"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B817D9" w:rsidRDefault="00D126C3" w:rsidP="000B66BC">
            <w:pPr>
              <w:pStyle w:val="BodyText1"/>
              <w:spacing w:after="240"/>
              <w:rPr>
                <w:rFonts w:ascii="Times New Roman" w:hAnsi="Times New Roman"/>
                <w:bCs/>
                <w:sz w:val="24"/>
                <w:szCs w:val="24"/>
              </w:rPr>
            </w:pPr>
            <w:r w:rsidRPr="00B817D9">
              <w:rPr>
                <w:rFonts w:ascii="Times New Roman" w:hAnsi="Times New Roman"/>
                <w:sz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B817D9" w:rsidRDefault="00D126C3"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Kredyty preferencyjne – należności od podmiotów sektora publicznego – księgowa wartość bilansowa</w:t>
            </w:r>
          </w:p>
          <w:p w14:paraId="01C18437" w14:textId="06AA7F8D" w:rsidR="006918E9" w:rsidRPr="00B817D9" w:rsidRDefault="00D126C3" w:rsidP="006918E9">
            <w:pPr>
              <w:pStyle w:val="BodyText1"/>
              <w:tabs>
                <w:tab w:val="left" w:pos="4755"/>
              </w:tabs>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aktywów, które stanowią należności od podmiotów sektora publicznego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kre</w:t>
            </w:r>
            <w:r w:rsidRPr="00B817D9">
              <w:rPr>
                <w:rFonts w:ascii="Times New Roman" w:hAnsi="Times New Roman"/>
                <w:sz w:val="24"/>
              </w:rPr>
              <w:t>dytami preferencyjnymi.</w:t>
            </w:r>
          </w:p>
          <w:p w14:paraId="271873F2" w14:textId="62E49660" w:rsidR="00D126C3" w:rsidRPr="00B817D9" w:rsidRDefault="00D126C3" w:rsidP="006918E9">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sz w:val="24"/>
              </w:rPr>
              <w:t>Należy również uwzględnić księgowe wartości bilansowe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1943A2" w:rsidRPr="00B817D9" w14:paraId="5E7DDD36" w14:textId="77777777" w:rsidTr="00E631B4">
        <w:tc>
          <w:tcPr>
            <w:tcW w:w="1418" w:type="dxa"/>
          </w:tcPr>
          <w:p w14:paraId="525D124D" w14:textId="765B9FDB" w:rsidR="001943A2" w:rsidRPr="00B817D9" w:rsidRDefault="001943A2" w:rsidP="000B66BC">
            <w:pPr>
              <w:pStyle w:val="BodyText1"/>
              <w:spacing w:after="240"/>
              <w:rPr>
                <w:rFonts w:ascii="Times New Roman" w:hAnsi="Times New Roman"/>
                <w:bCs/>
                <w:sz w:val="24"/>
                <w:szCs w:val="24"/>
              </w:rPr>
            </w:pPr>
            <w:r w:rsidRPr="00B817D9">
              <w:rPr>
                <w:rFonts w:ascii="Times New Roman" w:hAnsi="Times New Roman"/>
                <w:sz w:val="24"/>
              </w:rPr>
              <w:t>{0340;0070}</w:t>
            </w:r>
          </w:p>
        </w:tc>
        <w:tc>
          <w:tcPr>
            <w:tcW w:w="7620" w:type="dxa"/>
          </w:tcPr>
          <w:p w14:paraId="6383FA4C" w14:textId="78CEFFA7" w:rsidR="001943A2" w:rsidRPr="00B817D9" w:rsidRDefault="001943A2" w:rsidP="000B66BC">
            <w:pPr>
              <w:pStyle w:val="BodyText1"/>
              <w:tabs>
                <w:tab w:val="left" w:pos="4755"/>
              </w:tabs>
              <w:spacing w:after="240" w:line="240" w:lineRule="auto"/>
              <w:rPr>
                <w:rFonts w:ascii="Times New Roman" w:hAnsi="Times New Roman"/>
                <w:color w:val="auto"/>
                <w:sz w:val="24"/>
                <w:szCs w:val="24"/>
              </w:rPr>
            </w:pPr>
            <w:r w:rsidRPr="00B817D9">
              <w:rPr>
                <w:rFonts w:ascii="Times New Roman" w:hAnsi="Times New Roman"/>
                <w:b/>
                <w:sz w:val="24"/>
              </w:rPr>
              <w:t>Kredyty preferencyjne – należności od podmiotów sektora publicznego – kwota referencyjna/wartość nominalna</w:t>
            </w:r>
          </w:p>
          <w:p w14:paraId="5C047141" w14:textId="38830019" w:rsidR="006918E9" w:rsidRPr="00B817D9" w:rsidRDefault="001943A2" w:rsidP="006918E9">
            <w:pPr>
              <w:pStyle w:val="BodyText1"/>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kwota referencyjna pozycji pozabilansowych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wykorzystaną częścią kredytów preferencyjnych udzielonych podmiotom sektora publicznego.</w:t>
            </w:r>
          </w:p>
          <w:p w14:paraId="28AF0C76" w14:textId="213EBC45" w:rsidR="001943A2" w:rsidRPr="00B817D9" w:rsidRDefault="001943A2" w:rsidP="006918E9">
            <w:pPr>
              <w:pStyle w:val="BodyText1"/>
              <w:spacing w:after="240" w:line="240" w:lineRule="auto"/>
              <w:rPr>
                <w:rFonts w:ascii="Times New Roman" w:hAnsi="Times New Roman"/>
                <w:b/>
                <w:bCs/>
                <w:sz w:val="24"/>
                <w:szCs w:val="24"/>
              </w:rPr>
            </w:pPr>
            <w:r w:rsidRPr="00B817D9">
              <w:rPr>
                <w:rFonts w:ascii="Times New Roman" w:hAnsi="Times New Roman"/>
                <w:sz w:val="24"/>
              </w:rPr>
              <w:t>Należy również uwzględnić kwoty referencyjne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462408" w:rsidRPr="00B817D9" w14:paraId="29DF5E7A" w14:textId="77777777" w:rsidTr="00E631B4">
        <w:tc>
          <w:tcPr>
            <w:tcW w:w="1418" w:type="dxa"/>
          </w:tcPr>
          <w:p w14:paraId="1D9C525C" w14:textId="680B64DF" w:rsidR="00462408" w:rsidRPr="00B817D9" w:rsidRDefault="00462408" w:rsidP="000B66BC">
            <w:pPr>
              <w:pStyle w:val="BodyText1"/>
              <w:spacing w:after="240"/>
              <w:rPr>
                <w:rFonts w:ascii="Times New Roman" w:hAnsi="Times New Roman"/>
                <w:bCs/>
                <w:sz w:val="24"/>
                <w:szCs w:val="24"/>
              </w:rPr>
            </w:pPr>
            <w:r w:rsidRPr="00B817D9">
              <w:rPr>
                <w:rFonts w:ascii="Times New Roman" w:hAnsi="Times New Roman"/>
                <w:sz w:val="24"/>
              </w:rPr>
              <w:t>{0350;0010}</w:t>
            </w:r>
          </w:p>
        </w:tc>
        <w:tc>
          <w:tcPr>
            <w:tcW w:w="7620" w:type="dxa"/>
          </w:tcPr>
          <w:p w14:paraId="3CAFC6DC" w14:textId="096127A3" w:rsidR="00462408" w:rsidRPr="00B817D9" w:rsidRDefault="00462408" w:rsidP="000B66BC">
            <w:pPr>
              <w:pStyle w:val="BodyText1"/>
              <w:tabs>
                <w:tab w:val="left" w:pos="4755"/>
              </w:tabs>
              <w:spacing w:after="240" w:line="240" w:lineRule="auto"/>
              <w:rPr>
                <w:rFonts w:ascii="Times New Roman" w:hAnsi="Times New Roman"/>
                <w:color w:val="auto"/>
                <w:sz w:val="24"/>
                <w:szCs w:val="24"/>
              </w:rPr>
            </w:pPr>
            <w:r w:rsidRPr="00B817D9">
              <w:rPr>
                <w:rFonts w:ascii="Times New Roman" w:hAnsi="Times New Roman"/>
                <w:b/>
                <w:sz w:val="24"/>
              </w:rPr>
              <w:t>Kredyty preferencyjne – należności od przedsiębiorstw niefinansowych – księgowa wartość bilansowa</w:t>
            </w:r>
          </w:p>
          <w:p w14:paraId="38EC1D3F" w14:textId="41E8CB1E" w:rsidR="006918E9" w:rsidRPr="00B817D9" w:rsidRDefault="00462408" w:rsidP="006918E9">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Jeżeli instytucja jest publiczną kredytową instytucją wspierającą rozwój,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aktywów, które stanowią należności od przedsiębiorstw niefinansowych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kre</w:t>
            </w:r>
            <w:r w:rsidRPr="00B817D9">
              <w:rPr>
                <w:rFonts w:ascii="Times New Roman" w:hAnsi="Times New Roman"/>
                <w:sz w:val="24"/>
              </w:rPr>
              <w:t>dytami preferencyjnymi.</w:t>
            </w:r>
          </w:p>
          <w:p w14:paraId="6BF179ED" w14:textId="478DF557" w:rsidR="00462408" w:rsidRPr="00B817D9" w:rsidRDefault="00462408" w:rsidP="006918E9">
            <w:pPr>
              <w:pStyle w:val="BodyText1"/>
              <w:spacing w:after="240" w:line="240" w:lineRule="auto"/>
              <w:rPr>
                <w:rFonts w:ascii="Times New Roman" w:hAnsi="Times New Roman"/>
                <w:b/>
                <w:bCs/>
                <w:sz w:val="24"/>
                <w:szCs w:val="24"/>
              </w:rPr>
            </w:pPr>
            <w:r w:rsidRPr="00B817D9">
              <w:rPr>
                <w:rFonts w:ascii="Times New Roman" w:hAnsi="Times New Roman"/>
                <w:sz w:val="24"/>
              </w:rPr>
              <w:t>Należy również uwzględnić księgowe wartości bilansowe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A7136D" w:rsidRPr="00B817D9" w14:paraId="12870EEF" w14:textId="77777777" w:rsidTr="00E631B4">
        <w:tc>
          <w:tcPr>
            <w:tcW w:w="1418" w:type="dxa"/>
          </w:tcPr>
          <w:p w14:paraId="79383F04" w14:textId="29554F65" w:rsidR="00A7136D" w:rsidRPr="00B817D9" w:rsidRDefault="00A7136D" w:rsidP="000B66BC">
            <w:pPr>
              <w:pStyle w:val="BodyText1"/>
              <w:spacing w:after="240"/>
              <w:rPr>
                <w:rFonts w:ascii="Times New Roman" w:hAnsi="Times New Roman"/>
                <w:bCs/>
                <w:sz w:val="24"/>
                <w:szCs w:val="24"/>
              </w:rPr>
            </w:pPr>
            <w:r w:rsidRPr="00B817D9">
              <w:rPr>
                <w:rFonts w:ascii="Times New Roman" w:hAnsi="Times New Roman"/>
                <w:sz w:val="24"/>
              </w:rPr>
              <w:lastRenderedPageBreak/>
              <w:t>{0350;0070}</w:t>
            </w:r>
          </w:p>
        </w:tc>
        <w:tc>
          <w:tcPr>
            <w:tcW w:w="7620" w:type="dxa"/>
          </w:tcPr>
          <w:p w14:paraId="26540368" w14:textId="2C1D23F7" w:rsidR="00A7136D" w:rsidRPr="00B817D9" w:rsidRDefault="00A7136D" w:rsidP="000B66BC">
            <w:pPr>
              <w:pStyle w:val="BodyText1"/>
              <w:tabs>
                <w:tab w:val="left" w:pos="4755"/>
              </w:tabs>
              <w:spacing w:after="240" w:line="240" w:lineRule="auto"/>
              <w:rPr>
                <w:rFonts w:ascii="Times New Roman" w:hAnsi="Times New Roman"/>
                <w:color w:val="auto"/>
                <w:sz w:val="24"/>
                <w:szCs w:val="24"/>
              </w:rPr>
            </w:pPr>
            <w:r w:rsidRPr="00B817D9">
              <w:rPr>
                <w:rFonts w:ascii="Times New Roman" w:hAnsi="Times New Roman"/>
                <w:b/>
                <w:sz w:val="24"/>
              </w:rPr>
              <w:t>Kredyty preferencyjne – należności od przedsiębiorstw niefinansowych – kwota referencyjna/wartość nominalna</w:t>
            </w:r>
          </w:p>
          <w:p w14:paraId="054BF407" w14:textId="478ADB82" w:rsidR="00A7136D" w:rsidRPr="00B817D9" w:rsidRDefault="00A7136D"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kwota referencyjna pozycji pozabilansowych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wykorzystaną częścią kredytów preferencyjnych udzielonych przedsiębiorstwom niefinansowym.</w:t>
            </w:r>
          </w:p>
          <w:p w14:paraId="41A92F44" w14:textId="4D1F45BE" w:rsidR="00A7136D" w:rsidRPr="00B817D9" w:rsidRDefault="00A7136D" w:rsidP="006918E9">
            <w:pPr>
              <w:pStyle w:val="BodyText1"/>
              <w:spacing w:after="240" w:line="240" w:lineRule="auto"/>
              <w:rPr>
                <w:rFonts w:ascii="Times New Roman" w:hAnsi="Times New Roman"/>
                <w:b/>
                <w:bCs/>
                <w:sz w:val="24"/>
                <w:szCs w:val="24"/>
              </w:rPr>
            </w:pPr>
            <w:r w:rsidRPr="00B817D9">
              <w:rPr>
                <w:rFonts w:ascii="Times New Roman" w:hAnsi="Times New Roman"/>
                <w:sz w:val="24"/>
              </w:rPr>
              <w:t>Należy również uwzględnić kwoty referencyjne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462408" w:rsidRPr="00B817D9" w14:paraId="1F6E7CB4" w14:textId="77777777" w:rsidTr="00E631B4">
        <w:tc>
          <w:tcPr>
            <w:tcW w:w="1418" w:type="dxa"/>
          </w:tcPr>
          <w:p w14:paraId="6254A862" w14:textId="004992BC" w:rsidR="00462408" w:rsidRPr="00B817D9" w:rsidRDefault="00462408" w:rsidP="000B66BC">
            <w:pPr>
              <w:pStyle w:val="BodyText1"/>
              <w:spacing w:after="240"/>
              <w:rPr>
                <w:rFonts w:ascii="Times New Roman" w:hAnsi="Times New Roman"/>
                <w:bCs/>
                <w:sz w:val="24"/>
                <w:szCs w:val="24"/>
              </w:rPr>
            </w:pPr>
            <w:r w:rsidRPr="00B817D9">
              <w:rPr>
                <w:rFonts w:ascii="Times New Roman" w:hAnsi="Times New Roman"/>
                <w:sz w:val="24"/>
              </w:rPr>
              <w:t>{0360;0010}</w:t>
            </w:r>
          </w:p>
        </w:tc>
        <w:tc>
          <w:tcPr>
            <w:tcW w:w="7620" w:type="dxa"/>
          </w:tcPr>
          <w:p w14:paraId="1C554FC7" w14:textId="1F3CBF52" w:rsidR="00462408" w:rsidRPr="00B817D9" w:rsidRDefault="00462408" w:rsidP="000B66BC">
            <w:pPr>
              <w:pStyle w:val="BodyText1"/>
              <w:tabs>
                <w:tab w:val="left" w:pos="4755"/>
              </w:tabs>
              <w:spacing w:after="240" w:line="240" w:lineRule="auto"/>
              <w:rPr>
                <w:rFonts w:ascii="Times New Roman" w:hAnsi="Times New Roman"/>
                <w:color w:val="auto"/>
                <w:sz w:val="24"/>
                <w:szCs w:val="24"/>
              </w:rPr>
            </w:pPr>
            <w:r w:rsidRPr="00B817D9">
              <w:rPr>
                <w:rFonts w:ascii="Times New Roman" w:hAnsi="Times New Roman"/>
                <w:b/>
                <w:sz w:val="24"/>
              </w:rPr>
              <w:t>Kredyty preferencyjne – należności od gospodarstw domowych – księgowa wartość bilansowa</w:t>
            </w:r>
          </w:p>
          <w:p w14:paraId="55D67008" w14:textId="5247EAB1" w:rsidR="006918E9" w:rsidRPr="00B817D9" w:rsidRDefault="00462408" w:rsidP="006918E9">
            <w:pPr>
              <w:pStyle w:val="BodyText1"/>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aktywów, które stanowią należności od gospodarstw domowych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kre</w:t>
            </w:r>
            <w:r w:rsidRPr="00B817D9">
              <w:rPr>
                <w:rFonts w:ascii="Times New Roman" w:hAnsi="Times New Roman"/>
                <w:sz w:val="24"/>
              </w:rPr>
              <w:t>dytami preferencyjnymi.</w:t>
            </w:r>
          </w:p>
          <w:p w14:paraId="77B96BEE" w14:textId="3D464E1C" w:rsidR="00462408" w:rsidRPr="00B817D9" w:rsidRDefault="00462408" w:rsidP="006918E9">
            <w:pPr>
              <w:pStyle w:val="BodyText1"/>
              <w:spacing w:after="240" w:line="240" w:lineRule="auto"/>
              <w:rPr>
                <w:rFonts w:ascii="Times New Roman" w:hAnsi="Times New Roman"/>
                <w:b/>
                <w:bCs/>
                <w:sz w:val="24"/>
                <w:szCs w:val="24"/>
              </w:rPr>
            </w:pPr>
            <w:r w:rsidRPr="00B817D9">
              <w:rPr>
                <w:rFonts w:ascii="Times New Roman" w:hAnsi="Times New Roman"/>
                <w:sz w:val="24"/>
              </w:rPr>
              <w:t>Należy również uwzględnić księgowe wartości bilansowe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D126C3" w:rsidRPr="00B817D9" w14:paraId="18F55D0D" w14:textId="77777777" w:rsidTr="00E631B4">
        <w:tc>
          <w:tcPr>
            <w:tcW w:w="1418" w:type="dxa"/>
          </w:tcPr>
          <w:p w14:paraId="6CB2C6F3" w14:textId="0D17F3B9" w:rsidR="00D126C3" w:rsidRPr="00B817D9" w:rsidRDefault="00D126C3" w:rsidP="000B66BC">
            <w:pPr>
              <w:pStyle w:val="BodyText1"/>
              <w:spacing w:after="240"/>
              <w:rPr>
                <w:rFonts w:ascii="Times New Roman" w:hAnsi="Times New Roman"/>
                <w:bCs/>
                <w:sz w:val="24"/>
                <w:szCs w:val="24"/>
              </w:rPr>
            </w:pPr>
            <w:r w:rsidRPr="00B817D9">
              <w:rPr>
                <w:rFonts w:ascii="Times New Roman" w:hAnsi="Times New Roman"/>
                <w:sz w:val="24"/>
              </w:rPr>
              <w:t>{0360;0070}</w:t>
            </w:r>
          </w:p>
        </w:tc>
        <w:tc>
          <w:tcPr>
            <w:tcW w:w="7620" w:type="dxa"/>
          </w:tcPr>
          <w:p w14:paraId="5FFB5CC5" w14:textId="0AFA9088" w:rsidR="00D126C3" w:rsidRPr="00B817D9" w:rsidRDefault="00D126C3" w:rsidP="000B66BC">
            <w:pPr>
              <w:pStyle w:val="BodyText1"/>
              <w:tabs>
                <w:tab w:val="left" w:pos="4755"/>
              </w:tabs>
              <w:spacing w:after="240" w:line="240" w:lineRule="auto"/>
              <w:rPr>
                <w:rFonts w:ascii="Times New Roman" w:hAnsi="Times New Roman"/>
                <w:color w:val="auto"/>
                <w:sz w:val="24"/>
                <w:szCs w:val="24"/>
              </w:rPr>
            </w:pPr>
            <w:r w:rsidRPr="00B817D9">
              <w:rPr>
                <w:rFonts w:ascii="Times New Roman" w:hAnsi="Times New Roman"/>
                <w:b/>
                <w:sz w:val="24"/>
              </w:rPr>
              <w:t>Kredyty preferencyjne – należności od gospodarstw domowych – kwota referencyjna/wartość nominalna</w:t>
            </w:r>
          </w:p>
          <w:p w14:paraId="5C098B17" w14:textId="3FB0CD51" w:rsidR="00D126C3" w:rsidRPr="00B817D9" w:rsidRDefault="00D126C3" w:rsidP="000B66BC">
            <w:pPr>
              <w:pStyle w:val="BodyText1"/>
              <w:spacing w:after="240" w:line="240" w:lineRule="auto"/>
              <w:rPr>
                <w:rFonts w:ascii="Times New Roman" w:hAnsi="Times New Roman"/>
                <w:bCs/>
                <w:sz w:val="24"/>
                <w:szCs w:val="24"/>
              </w:rPr>
            </w:pPr>
            <w:r w:rsidRPr="00B817D9">
              <w:rPr>
                <w:rFonts w:ascii="Times New Roman" w:hAnsi="Times New Roman"/>
                <w:sz w:val="24"/>
              </w:rPr>
              <w:t>Jeżeli instytucja jest publiczną kredytową instytucją wspierającą rozwój, kwota referencyjna pozycji pozabilansowych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wykorzystaną częścią kredytów preferencyjnych udzielonych gospodarstwom domowym.</w:t>
            </w:r>
          </w:p>
          <w:p w14:paraId="635041B3" w14:textId="4E5221E6" w:rsidR="00D126C3" w:rsidRPr="00B817D9" w:rsidRDefault="00D126C3" w:rsidP="006918E9">
            <w:pPr>
              <w:pStyle w:val="BodyText1"/>
              <w:spacing w:after="240" w:line="240" w:lineRule="auto"/>
              <w:rPr>
                <w:rFonts w:ascii="Times New Roman" w:hAnsi="Times New Roman"/>
                <w:b/>
                <w:bCs/>
                <w:sz w:val="24"/>
                <w:szCs w:val="24"/>
              </w:rPr>
            </w:pPr>
            <w:r w:rsidRPr="00B817D9">
              <w:rPr>
                <w:rFonts w:ascii="Times New Roman" w:hAnsi="Times New Roman"/>
                <w:sz w:val="24"/>
              </w:rPr>
              <w:t>Należy również uwzględnić kwoty referencyjne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462408" w:rsidRPr="00B817D9" w14:paraId="44E1C677" w14:textId="77777777" w:rsidTr="00E631B4">
        <w:tc>
          <w:tcPr>
            <w:tcW w:w="1418" w:type="dxa"/>
          </w:tcPr>
          <w:p w14:paraId="17FF7A37" w14:textId="4D384D9C" w:rsidR="00462408" w:rsidRPr="00B817D9" w:rsidRDefault="00462408" w:rsidP="000B66BC">
            <w:pPr>
              <w:pStyle w:val="BodyText1"/>
              <w:spacing w:after="240"/>
              <w:rPr>
                <w:rFonts w:ascii="Times New Roman" w:hAnsi="Times New Roman"/>
                <w:bCs/>
                <w:sz w:val="24"/>
                <w:szCs w:val="24"/>
              </w:rPr>
            </w:pPr>
            <w:r w:rsidRPr="00B817D9">
              <w:rPr>
                <w:rFonts w:ascii="Times New Roman" w:hAnsi="Times New Roman"/>
                <w:sz w:val="24"/>
              </w:rPr>
              <w:t>{0370;0010}</w:t>
            </w:r>
          </w:p>
        </w:tc>
        <w:tc>
          <w:tcPr>
            <w:tcW w:w="7620" w:type="dxa"/>
          </w:tcPr>
          <w:p w14:paraId="3F005630" w14:textId="77777777" w:rsidR="00462408" w:rsidRPr="00B817D9" w:rsidRDefault="00462408"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Kredyty preferencyjne – przeniesienia – księgowa wartość bilansowa</w:t>
            </w:r>
          </w:p>
          <w:p w14:paraId="77AE875C" w14:textId="7C50CB22" w:rsidR="006918E9" w:rsidRPr="00B817D9" w:rsidRDefault="00462408" w:rsidP="006918E9">
            <w:pPr>
              <w:pStyle w:val="BodyText1"/>
              <w:spacing w:after="240" w:line="240" w:lineRule="auto"/>
              <w:rPr>
                <w:rFonts w:ascii="Times New Roman" w:hAnsi="Times New Roman"/>
                <w:color w:val="auto"/>
                <w:sz w:val="24"/>
                <w:szCs w:val="24"/>
              </w:rPr>
            </w:pPr>
            <w:r w:rsidRPr="00B817D9">
              <w:rPr>
                <w:rFonts w:ascii="Times New Roman" w:hAnsi="Times New Roman"/>
                <w:sz w:val="24"/>
              </w:rPr>
              <w:t>Jeżeli instytucja jest publiczną instytucją kredytową wspierającą rozwój, księgowa wartość bilansowa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przeniesienia kredytów preferencyjnych,</w:t>
            </w:r>
            <w:r w:rsidR="00B817D9" w:rsidRPr="00B817D9">
              <w:rPr>
                <w:rFonts w:ascii="Times New Roman" w:hAnsi="Times New Roman"/>
                <w:sz w:val="24"/>
              </w:rPr>
              <w:t xml:space="preserve"> </w:t>
            </w:r>
            <w:r w:rsidR="00B817D9" w:rsidRPr="00B817D9">
              <w:rPr>
                <w:rFonts w:ascii="Times New Roman" w:hAnsi="Times New Roman"/>
                <w:sz w:val="24"/>
              </w:rPr>
              <w:lastRenderedPageBreak/>
              <w:t>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kredyty preferencyjne nie zostały udzielone przez samą instytucję.</w:t>
            </w:r>
          </w:p>
          <w:p w14:paraId="13D74794" w14:textId="58EB899C" w:rsidR="00462408" w:rsidRPr="00B817D9" w:rsidRDefault="00462408" w:rsidP="006918E9">
            <w:pPr>
              <w:pStyle w:val="BodyText1"/>
              <w:spacing w:after="240" w:line="240" w:lineRule="auto"/>
              <w:rPr>
                <w:rFonts w:ascii="Times New Roman" w:hAnsi="Times New Roman"/>
                <w:b/>
                <w:bCs/>
                <w:sz w:val="24"/>
                <w:szCs w:val="24"/>
              </w:rPr>
            </w:pPr>
            <w:r w:rsidRPr="00B817D9">
              <w:rPr>
                <w:rFonts w:ascii="Times New Roman" w:hAnsi="Times New Roman"/>
                <w:sz w:val="24"/>
              </w:rPr>
              <w:t>Należy również uwzględnić księgowe wartości bilansowe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4A107B" w:rsidRPr="00B817D9" w14:paraId="09331359" w14:textId="77777777" w:rsidTr="00E631B4">
        <w:tc>
          <w:tcPr>
            <w:tcW w:w="1418" w:type="dxa"/>
          </w:tcPr>
          <w:p w14:paraId="073777C0" w14:textId="772CDEDA" w:rsidR="004A107B" w:rsidRPr="00B817D9" w:rsidRDefault="004A107B" w:rsidP="000B66BC">
            <w:pPr>
              <w:pStyle w:val="BodyText1"/>
              <w:spacing w:after="240"/>
              <w:rPr>
                <w:rFonts w:ascii="Times New Roman" w:hAnsi="Times New Roman"/>
                <w:bCs/>
                <w:sz w:val="24"/>
                <w:szCs w:val="24"/>
                <w:highlight w:val="yellow"/>
              </w:rPr>
            </w:pPr>
            <w:r w:rsidRPr="00B817D9">
              <w:rPr>
                <w:rFonts w:ascii="Times New Roman" w:hAnsi="Times New Roman"/>
                <w:sz w:val="24"/>
              </w:rPr>
              <w:lastRenderedPageBreak/>
              <w:t>{0370;0070}</w:t>
            </w:r>
          </w:p>
        </w:tc>
        <w:tc>
          <w:tcPr>
            <w:tcW w:w="7620" w:type="dxa"/>
          </w:tcPr>
          <w:p w14:paraId="0CA54233" w14:textId="2370225D" w:rsidR="004A107B" w:rsidRPr="00B817D9" w:rsidRDefault="004A107B"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Kredyty preferencyjne – przeniesienia – kwota referencyjna/wartość nominalna</w:t>
            </w:r>
          </w:p>
          <w:p w14:paraId="67DCF513" w14:textId="54940481" w:rsidR="006918E9" w:rsidRPr="00B817D9" w:rsidRDefault="004A107B" w:rsidP="006918E9">
            <w:pPr>
              <w:pStyle w:val="BodyText1"/>
              <w:spacing w:after="240" w:line="240" w:lineRule="auto"/>
              <w:rPr>
                <w:rFonts w:ascii="Times New Roman" w:hAnsi="Times New Roman"/>
                <w:color w:val="auto"/>
                <w:sz w:val="24"/>
                <w:szCs w:val="24"/>
              </w:rPr>
            </w:pPr>
            <w:r w:rsidRPr="00B817D9">
              <w:rPr>
                <w:rFonts w:ascii="Times New Roman" w:hAnsi="Times New Roman"/>
                <w:sz w:val="24"/>
              </w:rPr>
              <w:t>Jeżeli instytucja jest publiczną kredytową instytucją wspierającą rozwój, kwota nominalna pozycji pozabilansowych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wykorzystaną częścią przeniesionych kredytów preferencyjnych,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gdy kredyty preferencyjne nie zostały udzielone przez samą instytucję.</w:t>
            </w:r>
          </w:p>
          <w:p w14:paraId="75F9BF76" w14:textId="07A29C9C" w:rsidR="004A107B" w:rsidRPr="00B817D9" w:rsidRDefault="0033642B" w:rsidP="006918E9">
            <w:pPr>
              <w:pStyle w:val="BodyText1"/>
              <w:spacing w:after="240" w:line="240" w:lineRule="auto"/>
              <w:rPr>
                <w:rFonts w:ascii="Times New Roman" w:hAnsi="Times New Roman"/>
                <w:b/>
                <w:bCs/>
                <w:sz w:val="24"/>
                <w:szCs w:val="24"/>
              </w:rPr>
            </w:pPr>
            <w:r w:rsidRPr="00B817D9">
              <w:rPr>
                <w:rFonts w:ascii="Times New Roman" w:hAnsi="Times New Roman"/>
                <w:sz w:val="24"/>
              </w:rPr>
              <w:t>Należy również uwzględnić kwoty referencyjne jednostki instytucji traktowanej przez właściwy organ jako publiczna kredytowa instytucja wspierająca rozwój,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2 akapit ostatni.</w:t>
            </w:r>
          </w:p>
        </w:tc>
      </w:tr>
      <w:tr w:rsidR="00703CC2" w:rsidRPr="00B817D9"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B817D9" w:rsidRDefault="007F3838" w:rsidP="000B66BC">
            <w:pPr>
              <w:pStyle w:val="BodyText1"/>
              <w:spacing w:after="240"/>
              <w:rPr>
                <w:rFonts w:ascii="Times New Roman" w:hAnsi="Times New Roman"/>
                <w:bCs/>
                <w:sz w:val="24"/>
                <w:szCs w:val="24"/>
              </w:rPr>
            </w:pPr>
            <w:r w:rsidRPr="00B817D9">
              <w:rPr>
                <w:rFonts w:ascii="Times New Roman" w:hAnsi="Times New Roman"/>
                <w:sz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B817D9" w:rsidRDefault="00703CC2"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Ekspozycje wobec banków centralnych – księgowa wartość bilansowa</w:t>
            </w:r>
          </w:p>
          <w:p w14:paraId="68FD6F4B" w14:textId="62E9F2FA" w:rsidR="007F3838" w:rsidRPr="00B817D9" w:rsidRDefault="007F3838" w:rsidP="000B66BC">
            <w:pPr>
              <w:pStyle w:val="BodyText1"/>
              <w:tabs>
                <w:tab w:val="left" w:pos="4755"/>
              </w:tabs>
              <w:spacing w:after="240" w:line="240" w:lineRule="auto"/>
              <w:rPr>
                <w:rFonts w:ascii="Times New Roman" w:hAnsi="Times New Roman"/>
                <w:bCs/>
                <w:sz w:val="24"/>
                <w:szCs w:val="24"/>
              </w:rPr>
            </w:pPr>
            <w:r w:rsidRPr="00B817D9">
              <w:rPr>
                <w:rFonts w:ascii="Times New Roman" w:hAnsi="Times New Roman"/>
                <w:sz w:val="24"/>
              </w:rPr>
              <w:t>Instytucje zgłaszają,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maj</w:t>
            </w:r>
            <w:r w:rsidRPr="00B817D9">
              <w:rPr>
                <w:rFonts w:ascii="Times New Roman" w:hAnsi="Times New Roman"/>
                <w:sz w:val="24"/>
              </w:rPr>
              <w:t>ącymi zastosowanie standardami rachunkowości, wartość następujących ekspozycji wobec banku centralnego instytucji: (i) monety</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ban</w:t>
            </w:r>
            <w:r w:rsidRPr="00B817D9">
              <w:rPr>
                <w:rFonts w:ascii="Times New Roman" w:hAnsi="Times New Roman"/>
                <w:sz w:val="24"/>
              </w:rPr>
              <w:t>knoty stanowiące legalną walutę</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jur</w:t>
            </w:r>
            <w:r w:rsidRPr="00B817D9">
              <w:rPr>
                <w:rFonts w:ascii="Times New Roman" w:hAnsi="Times New Roman"/>
                <w:sz w:val="24"/>
              </w:rPr>
              <w:t>ysdykcji banku centralnego; (ii) aktywa stanowiące należności od banków centralnych,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rezerwy posiadane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ban</w:t>
            </w:r>
            <w:r w:rsidRPr="00B817D9">
              <w:rPr>
                <w:rFonts w:ascii="Times New Roman" w:hAnsi="Times New Roman"/>
                <w:sz w:val="24"/>
              </w:rPr>
              <w:t>ku centralnym.</w:t>
            </w:r>
          </w:p>
          <w:p w14:paraId="6DEE1984" w14:textId="21465E4C" w:rsidR="009F67E9" w:rsidRPr="00B817D9" w:rsidRDefault="007F3838" w:rsidP="000B66BC">
            <w:pPr>
              <w:pStyle w:val="BodyText1"/>
              <w:tabs>
                <w:tab w:val="left" w:pos="4755"/>
              </w:tabs>
              <w:spacing w:after="240" w:line="240" w:lineRule="auto"/>
              <w:rPr>
                <w:rFonts w:ascii="Times New Roman" w:hAnsi="Times New Roman"/>
                <w:bCs/>
                <w:sz w:val="24"/>
                <w:szCs w:val="24"/>
              </w:rPr>
            </w:pPr>
            <w:r w:rsidRPr="00B817D9">
              <w:rPr>
                <w:rFonts w:ascii="Times New Roman" w:hAnsi="Times New Roman"/>
                <w:sz w:val="24"/>
              </w:rPr>
              <w:t>Instytucje uwzględniają wyłącznie ekspozycje spełniające obydwa poniższe warunki: a) są denominowane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samej walucie co depozyty przyjęte przez instytucję; b) ich średni termin zapadalności nie przekracza znacząco średniego terminu zapadalności depozytów przyjętych przez instytucję.</w:t>
            </w:r>
          </w:p>
          <w:p w14:paraId="1572123D" w14:textId="3895D39D" w:rsidR="007F3838" w:rsidRPr="00B817D9" w:rsidRDefault="009F67E9"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zgłaszają te ekspozycje niezależnie od tego, czy są wyłączone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mia</w:t>
            </w:r>
            <w:r w:rsidRPr="00B817D9">
              <w:rPr>
                <w:rFonts w:ascii="Times New Roman" w:hAnsi="Times New Roman"/>
                <w:sz w:val="24"/>
              </w:rPr>
              <w:t>ry ekspozycji całkowitej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5</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6</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tc>
      </w:tr>
      <w:tr w:rsidR="00086398" w:rsidRPr="00B817D9"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B817D9" w:rsidRDefault="00086398" w:rsidP="000B66BC">
            <w:pPr>
              <w:pStyle w:val="BodyText1"/>
              <w:spacing w:after="240"/>
              <w:rPr>
                <w:rFonts w:ascii="Times New Roman" w:hAnsi="Times New Roman"/>
                <w:bCs/>
                <w:sz w:val="24"/>
                <w:szCs w:val="24"/>
              </w:rPr>
            </w:pPr>
            <w:r w:rsidRPr="00B817D9">
              <w:rPr>
                <w:rFonts w:ascii="Times New Roman" w:hAnsi="Times New Roman"/>
                <w:sz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D625E3C" w:rsidR="00DD51E7" w:rsidRPr="00B817D9" w:rsidRDefault="00DD51E7"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Wartość ekspozycji wobec banku centralnego wykorzystywana do obliczania wymogu dotyczącego skorygowanego wskaźnika dźwigni,</w:t>
            </w:r>
            <w:r w:rsidR="00B817D9" w:rsidRPr="00B817D9">
              <w:rPr>
                <w:rFonts w:ascii="Times New Roman" w:hAnsi="Times New Roman"/>
                <w:b/>
                <w:sz w:val="24"/>
              </w:rPr>
              <w:t xml:space="preserve"> o</w:t>
            </w:r>
            <w:r w:rsidR="00B817D9">
              <w:rPr>
                <w:rFonts w:ascii="Times New Roman" w:hAnsi="Times New Roman"/>
                <w:b/>
                <w:sz w:val="24"/>
              </w:rPr>
              <w:t> </w:t>
            </w:r>
            <w:r w:rsidR="00B817D9" w:rsidRPr="00B817D9">
              <w:rPr>
                <w:rFonts w:ascii="Times New Roman" w:hAnsi="Times New Roman"/>
                <w:b/>
                <w:sz w:val="24"/>
              </w:rPr>
              <w:t>któ</w:t>
            </w:r>
            <w:r w:rsidRPr="00B817D9">
              <w:rPr>
                <w:rFonts w:ascii="Times New Roman" w:hAnsi="Times New Roman"/>
                <w:b/>
                <w:sz w:val="24"/>
              </w:rPr>
              <w:t>rym mowa</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w:t>
            </w:r>
            <w:r w:rsidR="00B817D9" w:rsidRPr="00B817D9">
              <w:rPr>
                <w:rFonts w:ascii="Times New Roman" w:hAnsi="Times New Roman"/>
                <w:b/>
                <w:sz w:val="24"/>
              </w:rPr>
              <w:t> </w:t>
            </w:r>
            <w:r w:rsidRPr="00B817D9">
              <w:rPr>
                <w:rFonts w:ascii="Times New Roman" w:hAnsi="Times New Roman"/>
                <w:b/>
                <w:sz w:val="24"/>
              </w:rPr>
              <w:t>429a ust.</w:t>
            </w:r>
            <w:r w:rsidR="00B817D9" w:rsidRPr="00B817D9">
              <w:rPr>
                <w:rFonts w:ascii="Times New Roman" w:hAnsi="Times New Roman"/>
                <w:b/>
                <w:sz w:val="24"/>
              </w:rPr>
              <w:t> </w:t>
            </w:r>
            <w:r w:rsidRPr="00B817D9">
              <w:rPr>
                <w:rFonts w:ascii="Times New Roman" w:hAnsi="Times New Roman"/>
                <w:b/>
                <w:sz w:val="24"/>
              </w:rPr>
              <w:t>7 CRR – kwota ekspozycji wskaźnika dźwigni</w:t>
            </w:r>
          </w:p>
          <w:p w14:paraId="0EDC2D5D" w14:textId="76D24EA1" w:rsidR="00DD51E7" w:rsidRPr="00B817D9" w:rsidRDefault="00DD51E7"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sz w:val="24"/>
              </w:rPr>
              <w:t>Średnia dzienna całkowita wartość ekspozycji instytucji wobec jej banku centralnego, obliczona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peł</w:t>
            </w:r>
            <w:r w:rsidRPr="00B817D9">
              <w:rPr>
                <w:rFonts w:ascii="Times New Roman" w:hAnsi="Times New Roman"/>
                <w:sz w:val="24"/>
              </w:rPr>
              <w:t>nym okresie utrzymywania rezerw obowiązkowych przez bank centralny bezpośrednio poprzedzającym datę,</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rej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5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które to ekspozycje kwalifikują się do wyłączenia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n) rozporządzenia (UE) nr</w:t>
            </w:r>
            <w:r w:rsidR="00B817D9" w:rsidRPr="00B817D9">
              <w:rPr>
                <w:rFonts w:ascii="Times New Roman" w:hAnsi="Times New Roman"/>
                <w:sz w:val="24"/>
              </w:rPr>
              <w:t> </w:t>
            </w:r>
            <w:r w:rsidRPr="00B817D9">
              <w:rPr>
                <w:rFonts w:ascii="Times New Roman" w:hAnsi="Times New Roman"/>
                <w:sz w:val="24"/>
              </w:rPr>
              <w:t>575/2013.</w:t>
            </w:r>
          </w:p>
        </w:tc>
      </w:tr>
      <w:tr w:rsidR="00086398" w:rsidRPr="00B817D9"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B817D9" w:rsidRDefault="00086398" w:rsidP="000B66BC">
            <w:pPr>
              <w:pStyle w:val="BodyText1"/>
              <w:spacing w:after="240"/>
              <w:rPr>
                <w:rFonts w:ascii="Times New Roman" w:hAnsi="Times New Roman"/>
                <w:bCs/>
                <w:sz w:val="24"/>
                <w:szCs w:val="24"/>
              </w:rPr>
            </w:pPr>
            <w:r w:rsidRPr="00B817D9">
              <w:rPr>
                <w:rFonts w:ascii="Times New Roman" w:hAnsi="Times New Roman"/>
                <w:sz w:val="24"/>
              </w:rPr>
              <w:lastRenderedPageBreak/>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03C344B" w:rsidR="00DD51E7" w:rsidRPr="00B817D9" w:rsidRDefault="00DD51E7"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Miara ekspozycji wskaźnika dźwigni wykorzystywana do obliczania wymogu dotyczącego skorygowanego wskaźnika dźwigni,</w:t>
            </w:r>
            <w:r w:rsidR="00B817D9" w:rsidRPr="00B817D9">
              <w:rPr>
                <w:rFonts w:ascii="Times New Roman" w:hAnsi="Times New Roman"/>
                <w:b/>
                <w:sz w:val="24"/>
              </w:rPr>
              <w:t xml:space="preserve"> o</w:t>
            </w:r>
            <w:r w:rsidR="00B817D9">
              <w:rPr>
                <w:rFonts w:ascii="Times New Roman" w:hAnsi="Times New Roman"/>
                <w:b/>
                <w:sz w:val="24"/>
              </w:rPr>
              <w:t> </w:t>
            </w:r>
            <w:r w:rsidR="00B817D9" w:rsidRPr="00B817D9">
              <w:rPr>
                <w:rFonts w:ascii="Times New Roman" w:hAnsi="Times New Roman"/>
                <w:b/>
                <w:sz w:val="24"/>
              </w:rPr>
              <w:t>któ</w:t>
            </w:r>
            <w:r w:rsidRPr="00B817D9">
              <w:rPr>
                <w:rFonts w:ascii="Times New Roman" w:hAnsi="Times New Roman"/>
                <w:b/>
                <w:sz w:val="24"/>
              </w:rPr>
              <w:t>rym mowa</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w:t>
            </w:r>
            <w:r w:rsidR="00B817D9" w:rsidRPr="00B817D9">
              <w:rPr>
                <w:rFonts w:ascii="Times New Roman" w:hAnsi="Times New Roman"/>
                <w:b/>
                <w:sz w:val="24"/>
              </w:rPr>
              <w:t> </w:t>
            </w:r>
            <w:r w:rsidRPr="00B817D9">
              <w:rPr>
                <w:rFonts w:ascii="Times New Roman" w:hAnsi="Times New Roman"/>
                <w:b/>
                <w:sz w:val="24"/>
              </w:rPr>
              <w:t>429a ust.</w:t>
            </w:r>
            <w:r w:rsidR="00B817D9" w:rsidRPr="00B817D9">
              <w:rPr>
                <w:rFonts w:ascii="Times New Roman" w:hAnsi="Times New Roman"/>
                <w:b/>
                <w:sz w:val="24"/>
              </w:rPr>
              <w:t> </w:t>
            </w:r>
            <w:r w:rsidRPr="00B817D9">
              <w:rPr>
                <w:rFonts w:ascii="Times New Roman" w:hAnsi="Times New Roman"/>
                <w:b/>
                <w:sz w:val="24"/>
              </w:rPr>
              <w:t>7 CRR – kwota ekspozycji wskaźnika dźwigni</w:t>
            </w:r>
          </w:p>
          <w:p w14:paraId="7F49B2B2" w14:textId="472F177A" w:rsidR="000A486B" w:rsidRPr="00B817D9" w:rsidRDefault="00DD51E7" w:rsidP="006918E9">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sz w:val="24"/>
              </w:rPr>
              <w:t>Miara ekspozycji całkowitej instytucji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roz</w:t>
            </w:r>
            <w:r w:rsidRPr="00B817D9">
              <w:rPr>
                <w:rFonts w:ascii="Times New Roman" w:hAnsi="Times New Roman"/>
                <w:sz w:val="24"/>
              </w:rPr>
              <w:t>umieniu art.</w:t>
            </w:r>
            <w:r w:rsidR="00B817D9" w:rsidRPr="00B817D9">
              <w:rPr>
                <w:rFonts w:ascii="Times New Roman" w:hAnsi="Times New Roman"/>
                <w:sz w:val="24"/>
              </w:rPr>
              <w:t> </w:t>
            </w:r>
            <w:r w:rsidRPr="00B817D9">
              <w:rPr>
                <w:rFonts w:ascii="Times New Roman" w:hAnsi="Times New Roman"/>
                <w:sz w:val="24"/>
              </w:rPr>
              <w:t>429 ust.</w:t>
            </w:r>
            <w:r w:rsidR="00B817D9" w:rsidRPr="00B817D9">
              <w:rPr>
                <w:rFonts w:ascii="Times New Roman" w:hAnsi="Times New Roman"/>
                <w:sz w:val="24"/>
              </w:rPr>
              <w:t> </w:t>
            </w:r>
            <w:r w:rsidRPr="00B817D9">
              <w:rPr>
                <w:rFonts w:ascii="Times New Roman" w:hAnsi="Times New Roman"/>
                <w:sz w:val="24"/>
              </w:rPr>
              <w:t>4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wszelkie ekspozycje wyłączone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n)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dni</w:t>
            </w:r>
            <w:r w:rsidRPr="00B817D9">
              <w:rPr>
                <w:rFonts w:ascii="Times New Roman" w:hAnsi="Times New Roman"/>
                <w:sz w:val="24"/>
              </w:rPr>
              <w:t>u,</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rym mowa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5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tc>
      </w:tr>
      <w:tr w:rsidR="000C01E8" w:rsidRPr="00B817D9"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B817D9" w:rsidRDefault="000C01E8" w:rsidP="000B66BC">
            <w:pPr>
              <w:pStyle w:val="BodyText1"/>
              <w:spacing w:after="240"/>
              <w:rPr>
                <w:rFonts w:ascii="Times New Roman" w:hAnsi="Times New Roman"/>
                <w:bCs/>
                <w:sz w:val="24"/>
                <w:szCs w:val="24"/>
              </w:rPr>
            </w:pPr>
            <w:r w:rsidRPr="00B817D9">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B817D9" w:rsidRDefault="000C01E8" w:rsidP="000B66BC">
            <w:pPr>
              <w:pStyle w:val="BodyText1"/>
              <w:tabs>
                <w:tab w:val="left" w:pos="4755"/>
              </w:tabs>
              <w:spacing w:after="240" w:line="240" w:lineRule="auto"/>
              <w:rPr>
                <w:rFonts w:ascii="Times New Roman" w:hAnsi="Times New Roman"/>
                <w:b/>
                <w:bCs/>
                <w:sz w:val="24"/>
                <w:szCs w:val="24"/>
              </w:rPr>
            </w:pPr>
            <w:r w:rsidRPr="00B817D9">
              <w:rPr>
                <w:rFonts w:ascii="Times New Roman" w:hAnsi="Times New Roman"/>
                <w:b/>
                <w:sz w:val="24"/>
              </w:rPr>
              <w:t xml:space="preserve">Aktywa ogółem </w:t>
            </w:r>
          </w:p>
          <w:p w14:paraId="6B941506" w14:textId="27A0B2AF" w:rsidR="00086398" w:rsidRPr="00B817D9" w:rsidRDefault="000C01E8" w:rsidP="000B66BC">
            <w:pPr>
              <w:pStyle w:val="BodyText1"/>
              <w:tabs>
                <w:tab w:val="left" w:pos="4755"/>
              </w:tabs>
              <w:spacing w:after="240" w:line="240" w:lineRule="auto"/>
              <w:rPr>
                <w:rFonts w:ascii="Times New Roman" w:hAnsi="Times New Roman"/>
                <w:bCs/>
                <w:sz w:val="24"/>
                <w:szCs w:val="24"/>
              </w:rPr>
            </w:pPr>
            <w:r w:rsidRPr="00B817D9">
              <w:rPr>
                <w:rFonts w:ascii="Times New Roman" w:hAnsi="Times New Roman"/>
                <w:sz w:val="24"/>
              </w:rPr>
              <w:t>Instytucje zgłaszają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tej</w:t>
            </w:r>
            <w:r w:rsidRPr="00B817D9">
              <w:rPr>
                <w:rFonts w:ascii="Times New Roman" w:hAnsi="Times New Roman"/>
                <w:sz w:val="24"/>
              </w:rPr>
              <w:t xml:space="preserve"> pozycji aktywa ogółem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zak</w:t>
            </w:r>
            <w:r w:rsidRPr="00B817D9">
              <w:rPr>
                <w:rFonts w:ascii="Times New Roman" w:hAnsi="Times New Roman"/>
                <w:sz w:val="24"/>
              </w:rPr>
              <w:t>resem zastosowanym</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opu</w:t>
            </w:r>
            <w:r w:rsidRPr="00B817D9">
              <w:rPr>
                <w:rFonts w:ascii="Times New Roman" w:hAnsi="Times New Roman"/>
                <w:sz w:val="24"/>
              </w:rPr>
              <w:t>blikowanych sprawozdaniach finansowych.</w:t>
            </w:r>
          </w:p>
        </w:tc>
      </w:tr>
    </w:tbl>
    <w:p w14:paraId="03B5554A" w14:textId="77777777" w:rsidR="00462408" w:rsidRPr="00B817D9"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B817D9"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188604486"/>
      <w:bookmarkStart w:id="73" w:name="_Toc322533879"/>
      <w:bookmarkEnd w:id="57"/>
      <w:bookmarkEnd w:id="65"/>
      <w:bookmarkEnd w:id="66"/>
      <w:bookmarkEnd w:id="67"/>
      <w:r w:rsidRPr="00B817D9">
        <w:rPr>
          <w:rFonts w:ascii="Times New Roman" w:hAnsi="Times New Roman"/>
          <w:b/>
          <w:sz w:val="24"/>
        </w:rPr>
        <w:t>5.</w:t>
      </w:r>
      <w:r w:rsidRPr="00B817D9">
        <w:tab/>
      </w:r>
      <w:r w:rsidRPr="00B817D9">
        <w:rPr>
          <w:rFonts w:ascii="Times New Roman" w:hAnsi="Times New Roman"/>
          <w:b/>
          <w:sz w:val="24"/>
        </w:rPr>
        <w:t>C 43.00 – Alternatywny podział składników miary ekspozycji wskaźnika dźwigni</w:t>
      </w:r>
      <w:bookmarkEnd w:id="68"/>
      <w:bookmarkEnd w:id="69"/>
      <w:bookmarkEnd w:id="70"/>
      <w:r w:rsidRPr="00B817D9">
        <w:rPr>
          <w:rFonts w:ascii="Times New Roman" w:hAnsi="Times New Roman"/>
          <w:b/>
          <w:sz w:val="24"/>
        </w:rPr>
        <w:t xml:space="preserve"> (LR4)</w:t>
      </w:r>
      <w:bookmarkEnd w:id="71"/>
      <w:bookmarkEnd w:id="72"/>
    </w:p>
    <w:p w14:paraId="28B96BA9" w14:textId="3EB4A5AF" w:rsidR="004E437E" w:rsidRPr="00B817D9" w:rsidRDefault="00500508" w:rsidP="000B66BC">
      <w:pPr>
        <w:pStyle w:val="BodyText1"/>
        <w:spacing w:after="240"/>
        <w:ind w:left="720" w:hanging="360"/>
        <w:rPr>
          <w:rFonts w:ascii="Times New Roman" w:hAnsi="Times New Roman"/>
          <w:sz w:val="24"/>
          <w:szCs w:val="24"/>
        </w:rPr>
      </w:pPr>
      <w:r w:rsidRPr="00B817D9">
        <w:rPr>
          <w:rFonts w:ascii="Times New Roman" w:hAnsi="Times New Roman"/>
          <w:sz w:val="24"/>
        </w:rPr>
        <w:t>24.</w:t>
      </w:r>
      <w:r w:rsidRPr="00B817D9">
        <w:tab/>
      </w:r>
      <w:r w:rsidRPr="00B817D9">
        <w:rPr>
          <w:rFonts w:ascii="Times New Roman" w:hAnsi="Times New Roman"/>
          <w:sz w:val="24"/>
        </w:rPr>
        <w:t>Instytucje zgłaszają w LR4 wartości ekspozycji wskaźnika dźwigni po zastosowaniu wyłączeń</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odl</w:t>
      </w:r>
      <w:r w:rsidRPr="00B817D9">
        <w:rPr>
          <w:rFonts w:ascii="Times New Roman" w:hAnsi="Times New Roman"/>
          <w:sz w:val="24"/>
        </w:rPr>
        <w:t>iczeń we wzorze LRCalc, tj. pozycje ze znakiem ujemnym zapisane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kon</w:t>
      </w:r>
      <w:r w:rsidRPr="00B817D9">
        <w:rPr>
          <w:rFonts w:ascii="Times New Roman" w:hAnsi="Times New Roman"/>
          <w:sz w:val="24"/>
        </w:rPr>
        <w:t>wencją znaku określoną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nin</w:t>
      </w:r>
      <w:r w:rsidRPr="00B817D9">
        <w:rPr>
          <w:rFonts w:ascii="Times New Roman" w:hAnsi="Times New Roman"/>
          <w:sz w:val="24"/>
        </w:rPr>
        <w:t>iejszym załączniku część I pkt</w:t>
      </w:r>
      <w:r w:rsidR="00B817D9" w:rsidRPr="00B817D9">
        <w:rPr>
          <w:rFonts w:ascii="Times New Roman" w:hAnsi="Times New Roman"/>
          <w:sz w:val="24"/>
        </w:rPr>
        <w:t> </w:t>
      </w:r>
      <w:r w:rsidRPr="00B817D9">
        <w:rPr>
          <w:rFonts w:ascii="Times New Roman" w:hAnsi="Times New Roman"/>
          <w:sz w:val="24"/>
        </w:rPr>
        <w:t>9,</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wyj</w:t>
      </w:r>
      <w:r w:rsidRPr="00B817D9">
        <w:rPr>
          <w:rFonts w:ascii="Times New Roman" w:hAnsi="Times New Roman"/>
          <w:sz w:val="24"/>
        </w:rPr>
        <w:t>ątkiem wierszy {0270;0010} i {0280;0010}.</w:t>
      </w:r>
    </w:p>
    <w:p w14:paraId="69B9194E" w14:textId="636E268C" w:rsidR="00A54449" w:rsidRPr="00B817D9" w:rsidRDefault="00500508"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25.</w:t>
      </w:r>
      <w:r w:rsidRPr="00B817D9">
        <w:tab/>
      </w:r>
      <w:r w:rsidRPr="00B817D9">
        <w:rPr>
          <w:rFonts w:ascii="Times New Roman" w:hAnsi="Times New Roman"/>
          <w:sz w:val="24"/>
        </w:rPr>
        <w:t>Aby uniknąć podwójnego liczenia, instytucje stosują następujące równanie:</w:t>
      </w:r>
    </w:p>
    <w:p w14:paraId="6C63F05C" w14:textId="18F59633" w:rsidR="00F4754B" w:rsidRPr="00B817D9" w:rsidRDefault="00287E34"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 xml:space="preserve"> </w:t>
      </w:r>
      <w:r w:rsidRPr="00B817D9">
        <w:tab/>
      </w:r>
      <w:r w:rsidRPr="00B817D9">
        <w:rPr>
          <w:rFonts w:ascii="Times New Roman" w:hAnsi="Times New Roman"/>
          <w:sz w:val="24"/>
        </w:rPr>
        <w:t>Suma wszystkich wierszy od {0010; 0010} do {0269;0010} we wzorze LRCalc jest równa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0DC05DAF" w:rsidR="00675587" w:rsidRPr="00B817D9" w:rsidRDefault="00143C6A" w:rsidP="000B66BC">
      <w:pPr>
        <w:pStyle w:val="BodyText1"/>
        <w:spacing w:after="240"/>
        <w:ind w:left="720" w:hanging="360"/>
        <w:rPr>
          <w:rFonts w:ascii="Times New Roman" w:hAnsi="Times New Roman"/>
          <w:sz w:val="24"/>
          <w:szCs w:val="24"/>
        </w:rPr>
      </w:pPr>
      <w:r w:rsidRPr="00B817D9">
        <w:rPr>
          <w:rFonts w:ascii="Times New Roman" w:hAnsi="Times New Roman"/>
          <w:sz w:val="24"/>
        </w:rPr>
        <w:t>26.</w:t>
      </w:r>
      <w:r w:rsidRPr="00B817D9">
        <w:tab/>
      </w:r>
      <w:r w:rsidRPr="00B817D9">
        <w:rPr>
          <w:rFonts w:ascii="Times New Roman" w:hAnsi="Times New Roman"/>
          <w:sz w:val="24"/>
        </w:rPr>
        <w:t>Aby zachować spójność</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war</w:t>
      </w:r>
      <w:r w:rsidRPr="00B817D9">
        <w:rPr>
          <w:rFonts w:ascii="Times New Roman" w:hAnsi="Times New Roman"/>
          <w:sz w:val="24"/>
        </w:rPr>
        <w:t>tościami ekspozycji wskaźnika dźwigni, kwoty ekspozycji ważone ryzykiem należy również zgłaszać przy zastosowaniu</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peł</w:t>
      </w:r>
      <w:r w:rsidRPr="00B817D9">
        <w:rPr>
          <w:rFonts w:ascii="Times New Roman" w:hAnsi="Times New Roman"/>
          <w:sz w:val="24"/>
        </w:rPr>
        <w:t xml:space="preserve">ni wprowadzonej definicji. Korekty minimalnego progu kapitałowego nie będą uwzględniane do celów niniejszego wzoru. </w:t>
      </w:r>
    </w:p>
    <w:p w14:paraId="794DC095" w14:textId="04D8CA9F" w:rsidR="003B1611" w:rsidRPr="00B817D9" w:rsidRDefault="003B1611" w:rsidP="000B66BC">
      <w:pPr>
        <w:pStyle w:val="BodyText1"/>
        <w:spacing w:after="240"/>
        <w:ind w:left="720" w:hanging="360"/>
        <w:rPr>
          <w:rFonts w:ascii="Times New Roman" w:hAnsi="Times New Roman"/>
          <w:sz w:val="24"/>
          <w:szCs w:val="24"/>
        </w:rPr>
      </w:pPr>
      <w:r w:rsidRPr="00B817D9">
        <w:rPr>
          <w:rFonts w:ascii="Times New Roman" w:hAnsi="Times New Roman"/>
          <w:sz w:val="24"/>
        </w:rPr>
        <w:t>27. Instytucje zgłaszają kontrahenta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kwo</w:t>
      </w:r>
      <w:r w:rsidRPr="00B817D9">
        <w:rPr>
          <w:rFonts w:ascii="Times New Roman" w:hAnsi="Times New Roman"/>
          <w:sz w:val="24"/>
        </w:rPr>
        <w:t>tą ekspozycji ważonej ryzykiem po zastosowaniu technik ograniczania ryzyka kredytowego</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efe</w:t>
      </w:r>
      <w:r w:rsidRPr="00B817D9">
        <w:rPr>
          <w:rFonts w:ascii="Times New Roman" w:hAnsi="Times New Roman"/>
          <w:sz w:val="24"/>
        </w:rPr>
        <w:t>ktami substytucyjnymi. Instytucje zgłaszają kontrahenta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eks</w:t>
      </w:r>
      <w:r w:rsidRPr="00B817D9">
        <w:rPr>
          <w:rFonts w:ascii="Times New Roman" w:hAnsi="Times New Roman"/>
          <w:sz w:val="24"/>
        </w:rPr>
        <w:t xml:space="preserve">pozycją wskaźnika dźwigni według pierwotnego kontrahenta, tj. bez uwzględniania żadnego ograniczenia ryzyka kredytowego ani efektów substytucyjnych mających zastosowanie do kwoty ekspozycji ważonej ryzykiem.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B817D9" w14:paraId="69CF6F62" w14:textId="77777777" w:rsidTr="000B66BC">
        <w:trPr>
          <w:trHeight w:val="297"/>
        </w:trPr>
        <w:tc>
          <w:tcPr>
            <w:tcW w:w="1559" w:type="dxa"/>
            <w:shd w:val="clear" w:color="auto" w:fill="D9D9D9" w:themeFill="background1" w:themeFillShade="D9"/>
          </w:tcPr>
          <w:p w14:paraId="5F424E32" w14:textId="2D1DC10F" w:rsidR="00F4754B" w:rsidRPr="00B817D9" w:rsidRDefault="00F4754B" w:rsidP="000B66BC">
            <w:pPr>
              <w:pStyle w:val="BodyText1"/>
              <w:spacing w:after="240"/>
              <w:rPr>
                <w:rFonts w:ascii="Times New Roman" w:hAnsi="Times New Roman"/>
                <w:b/>
                <w:bCs/>
                <w:i/>
                <w:sz w:val="24"/>
                <w:szCs w:val="24"/>
              </w:rPr>
            </w:pPr>
            <w:r w:rsidRPr="00B817D9">
              <w:rPr>
                <w:rFonts w:ascii="Times New Roman" w:hAnsi="Times New Roman"/>
                <w:b/>
                <w:sz w:val="24"/>
              </w:rPr>
              <w:lastRenderedPageBreak/>
              <w:t>Wiersz</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kol</w:t>
            </w:r>
            <w:r w:rsidRPr="00B817D9">
              <w:rPr>
                <w:rFonts w:ascii="Times New Roman" w:hAnsi="Times New Roman"/>
                <w:b/>
                <w:sz w:val="24"/>
              </w:rPr>
              <w:t>umna</w:t>
            </w:r>
          </w:p>
        </w:tc>
        <w:tc>
          <w:tcPr>
            <w:tcW w:w="7406" w:type="dxa"/>
            <w:shd w:val="clear" w:color="auto" w:fill="D9D9D9" w:themeFill="background1" w:themeFillShade="D9"/>
          </w:tcPr>
          <w:p w14:paraId="0DBEBFC4" w14:textId="03C21869" w:rsidR="00F4754B" w:rsidRPr="00B817D9" w:rsidRDefault="00F4754B" w:rsidP="000B66BC">
            <w:pPr>
              <w:pStyle w:val="BodyText1"/>
              <w:spacing w:after="240"/>
              <w:rPr>
                <w:rFonts w:ascii="Times New Roman" w:hAnsi="Times New Roman"/>
                <w:b/>
                <w:bCs/>
                <w:i/>
                <w:sz w:val="24"/>
                <w:szCs w:val="24"/>
              </w:rPr>
            </w:pPr>
            <w:r w:rsidRPr="00B817D9">
              <w:rPr>
                <w:rFonts w:ascii="Times New Roman" w:hAnsi="Times New Roman"/>
                <w:b/>
                <w:sz w:val="24"/>
              </w:rPr>
              <w:t>Odniesienia prawne</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ins</w:t>
            </w:r>
            <w:r w:rsidRPr="00B817D9">
              <w:rPr>
                <w:rFonts w:ascii="Times New Roman" w:hAnsi="Times New Roman"/>
                <w:b/>
                <w:sz w:val="24"/>
              </w:rPr>
              <w:t>trukcje</w:t>
            </w:r>
          </w:p>
        </w:tc>
      </w:tr>
      <w:tr w:rsidR="002A54FF" w:rsidRPr="00B817D9" w14:paraId="7949D943" w14:textId="77777777" w:rsidTr="000B66BC">
        <w:trPr>
          <w:trHeight w:val="445"/>
        </w:trPr>
        <w:tc>
          <w:tcPr>
            <w:tcW w:w="1559" w:type="dxa"/>
            <w:shd w:val="clear" w:color="auto" w:fill="FFFFFF"/>
          </w:tcPr>
          <w:p w14:paraId="55F0F0BF" w14:textId="2E63969B"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{0010;0010}</w:t>
            </w:r>
          </w:p>
        </w:tc>
        <w:tc>
          <w:tcPr>
            <w:tcW w:w="7406" w:type="dxa"/>
            <w:shd w:val="clear" w:color="auto" w:fill="FFFFFF"/>
          </w:tcPr>
          <w:p w14:paraId="1750A9AE" w14:textId="2B686C42" w:rsidR="00F4754B"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Pozycje pozabilansowe – wartość ekspozycji wskaźnika dźwigni</w:t>
            </w:r>
          </w:p>
          <w:p w14:paraId="158DBAF4" w14:textId="55EAA2C8" w:rsidR="002509B1"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obliczana jako suma {LRCalc;0150;0010}, {LRCalc;0160;0010}, {LRCalc;0165;0010} {LRCalc;0170;0010} i {LRCalc;0180;0010},</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wył</w:t>
            </w:r>
            <w:r w:rsidRPr="00B817D9">
              <w:rPr>
                <w:rFonts w:ascii="Times New Roman" w:hAnsi="Times New Roman"/>
                <w:sz w:val="24"/>
              </w:rPr>
              <w:t>ączeniem odpowiednich ekspozycji wewnątrzgrupowych (na zasadzie nieskonsolidowanej) wyłączonych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 i ca)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5C714FF5" w14:textId="77777777" w:rsidTr="000B66BC">
        <w:trPr>
          <w:trHeight w:val="1179"/>
        </w:trPr>
        <w:tc>
          <w:tcPr>
            <w:tcW w:w="1559" w:type="dxa"/>
            <w:shd w:val="clear" w:color="auto" w:fill="FFFFFF"/>
          </w:tcPr>
          <w:p w14:paraId="2120C924" w14:textId="781A0373"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{0010;0020}</w:t>
            </w:r>
          </w:p>
        </w:tc>
        <w:tc>
          <w:tcPr>
            <w:tcW w:w="7406" w:type="dxa"/>
            <w:shd w:val="clear" w:color="auto" w:fill="FFFFFF"/>
          </w:tcPr>
          <w:p w14:paraId="01D12FD7" w14:textId="094E74CB" w:rsidR="00F4754B"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Pozycje pozabilansowe – kwota ekspozycji ważonej ryzykiem</w:t>
            </w:r>
          </w:p>
          <w:p w14:paraId="672047D9" w14:textId="6646C496" w:rsidR="002509B1"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Kwota ekspozycji ważonej ryzykiem dla pozycji pozabilansowych –</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wył</w:t>
            </w:r>
            <w:r w:rsidRPr="00B817D9">
              <w:rPr>
                <w:rFonts w:ascii="Times New Roman" w:hAnsi="Times New Roman"/>
                <w:sz w:val="24"/>
              </w:rPr>
              <w:t>ączeniem SFT</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ins</w:t>
            </w:r>
            <w:r w:rsidRPr="00B817D9">
              <w:rPr>
                <w:rFonts w:ascii="Times New Roman" w:hAnsi="Times New Roman"/>
                <w:sz w:val="24"/>
              </w:rPr>
              <w:t>trumentów pochodnych –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met</w:t>
            </w:r>
            <w:r w:rsidRPr="00B817D9">
              <w:rPr>
                <w:rFonts w:ascii="Times New Roman" w:hAnsi="Times New Roman"/>
                <w:sz w:val="24"/>
              </w:rPr>
              <w:t>odą standardową</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met</w:t>
            </w:r>
            <w:r w:rsidRPr="00B817D9">
              <w:rPr>
                <w:rFonts w:ascii="Times New Roman" w:hAnsi="Times New Roman"/>
                <w:sz w:val="24"/>
              </w:rPr>
              <w:t>odą IRB</w:t>
            </w:r>
            <w:r w:rsidR="00B817D9" w:rsidRPr="00B817D9">
              <w:rPr>
                <w:rFonts w:ascii="Times New Roman" w:hAnsi="Times New Roman"/>
                <w:sz w:val="24"/>
              </w:rPr>
              <w:t>.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ekspozycji,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których stosuje się metodę standardową, instytucje określają kwotę ekspozycji ważonej ryzykiem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ścią trzecią tytuł II rozdział 2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ekspozycji,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których stosuje się metodę IRB, instytucje określają kwotę ekspozycji ważonej ryzykiem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ścią trzecią tytuł II rozdział 3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3A2B982B" w14:textId="77777777" w:rsidTr="000B66BC">
        <w:trPr>
          <w:trHeight w:val="741"/>
        </w:trPr>
        <w:tc>
          <w:tcPr>
            <w:tcW w:w="1559" w:type="dxa"/>
            <w:shd w:val="clear" w:color="auto" w:fill="FFFFFF"/>
          </w:tcPr>
          <w:p w14:paraId="02155B13" w14:textId="2421AAB9"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{0020;0010}</w:t>
            </w:r>
          </w:p>
        </w:tc>
        <w:tc>
          <w:tcPr>
            <w:tcW w:w="7406" w:type="dxa"/>
            <w:shd w:val="clear" w:color="auto" w:fill="FFFFFF"/>
          </w:tcPr>
          <w:p w14:paraId="08539F0E" w14:textId="34DD4FEA" w:rsidR="00F4754B" w:rsidRPr="00B817D9" w:rsidRDefault="005E7B71"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finansowanie handlu – wartość ekspozycji wskaźnika dźwigni</w:t>
            </w:r>
          </w:p>
          <w:p w14:paraId="645ACACC" w14:textId="0AA3EBC3" w:rsidR="00F21A85" w:rsidRPr="00B817D9" w:rsidRDefault="00F4754B" w:rsidP="00F21A85">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pozycji pozabilansowych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fin</w:t>
            </w:r>
            <w:r w:rsidRPr="00B817D9">
              <w:rPr>
                <w:rFonts w:ascii="Times New Roman" w:hAnsi="Times New Roman"/>
                <w:sz w:val="24"/>
              </w:rPr>
              <w:t>ansowaniem handlu.</w:t>
            </w:r>
          </w:p>
          <w:p w14:paraId="133382BF" w14:textId="38553B4D" w:rsidR="002509B1" w:rsidRPr="00B817D9" w:rsidRDefault="00F4754B" w:rsidP="00F21A85">
            <w:pPr>
              <w:pStyle w:val="BodyText1"/>
              <w:spacing w:after="240" w:line="240" w:lineRule="auto"/>
              <w:rPr>
                <w:rFonts w:ascii="Times New Roman" w:hAnsi="Times New Roman"/>
                <w:bCs/>
                <w:sz w:val="24"/>
                <w:szCs w:val="24"/>
              </w:rPr>
            </w:pPr>
            <w:r w:rsidRPr="00B817D9">
              <w:rPr>
                <w:rFonts w:ascii="Times New Roman" w:hAnsi="Times New Roman"/>
                <w:sz w:val="24"/>
              </w:rPr>
              <w:t>Na potrzeby sprawozdawczości we wzorze LR4 pozycje pozabilansowe związane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fin</w:t>
            </w:r>
            <w:r w:rsidRPr="00B817D9">
              <w:rPr>
                <w:rFonts w:ascii="Times New Roman" w:hAnsi="Times New Roman"/>
                <w:sz w:val="24"/>
              </w:rPr>
              <w:t>ansowaniem handlu dotyczą otwartych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pot</w:t>
            </w:r>
            <w:r w:rsidRPr="00B817D9">
              <w:rPr>
                <w:rFonts w:ascii="Times New Roman" w:hAnsi="Times New Roman"/>
                <w:sz w:val="24"/>
              </w:rPr>
              <w:t>wierdzonych importowych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eks</w:t>
            </w:r>
            <w:r w:rsidRPr="00B817D9">
              <w:rPr>
                <w:rFonts w:ascii="Times New Roman" w:hAnsi="Times New Roman"/>
                <w:sz w:val="24"/>
              </w:rPr>
              <w:t>portowych akredytyw krótkoterminowych, wygasających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chw</w:t>
            </w:r>
            <w:r w:rsidRPr="00B817D9">
              <w:rPr>
                <w:rFonts w:ascii="Times New Roman" w:hAnsi="Times New Roman"/>
                <w:sz w:val="24"/>
              </w:rPr>
              <w:t>ilą realizacji transakcji,</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tak</w:t>
            </w:r>
            <w:r w:rsidRPr="00B817D9">
              <w:rPr>
                <w:rFonts w:ascii="Times New Roman" w:hAnsi="Times New Roman"/>
                <w:sz w:val="24"/>
              </w:rPr>
              <w:t>że podobnych transakcji.</w:t>
            </w:r>
          </w:p>
        </w:tc>
      </w:tr>
      <w:tr w:rsidR="002A54FF" w:rsidRPr="00B817D9" w14:paraId="76EF75CF" w14:textId="77777777" w:rsidTr="000B66BC">
        <w:trPr>
          <w:trHeight w:val="1038"/>
        </w:trPr>
        <w:tc>
          <w:tcPr>
            <w:tcW w:w="1559" w:type="dxa"/>
            <w:shd w:val="clear" w:color="auto" w:fill="FFFFFF"/>
          </w:tcPr>
          <w:p w14:paraId="35797C75" w14:textId="0565FF18"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{0020;0020}</w:t>
            </w:r>
          </w:p>
        </w:tc>
        <w:tc>
          <w:tcPr>
            <w:tcW w:w="7406" w:type="dxa"/>
            <w:shd w:val="clear" w:color="auto" w:fill="FFFFFF"/>
          </w:tcPr>
          <w:p w14:paraId="249BC5D0" w14:textId="48587F9F" w:rsidR="002509B1" w:rsidRPr="00B817D9" w:rsidRDefault="005E7B71"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finansowanie handlu – kwota ekspozycji ważonej ryzykiem</w:t>
            </w:r>
          </w:p>
          <w:p w14:paraId="6D7F09A8" w14:textId="7EE0D27D" w:rsidR="006918E9" w:rsidRPr="00B817D9" w:rsidRDefault="00F4754B" w:rsidP="006918E9">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ważonej ryzykiem dla pozycji pozabilansowych –</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wył</w:t>
            </w:r>
            <w:r w:rsidRPr="00B817D9">
              <w:rPr>
                <w:rFonts w:ascii="Times New Roman" w:hAnsi="Times New Roman"/>
                <w:sz w:val="24"/>
              </w:rPr>
              <w:t>ączeniem SFT</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ins</w:t>
            </w:r>
            <w:r w:rsidRPr="00B817D9">
              <w:rPr>
                <w:rFonts w:ascii="Times New Roman" w:hAnsi="Times New Roman"/>
                <w:sz w:val="24"/>
              </w:rPr>
              <w:t>trumentów pochodnych –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fin</w:t>
            </w:r>
            <w:r w:rsidRPr="00B817D9">
              <w:rPr>
                <w:rFonts w:ascii="Times New Roman" w:hAnsi="Times New Roman"/>
                <w:sz w:val="24"/>
              </w:rPr>
              <w:t>ansowaniem handlu</w:t>
            </w:r>
          </w:p>
          <w:p w14:paraId="38C84AEF" w14:textId="24499676" w:rsidR="002509B1" w:rsidRPr="00B817D9" w:rsidRDefault="00F4754B" w:rsidP="00F21A85">
            <w:pPr>
              <w:pStyle w:val="BodyText1"/>
              <w:spacing w:after="240" w:line="240" w:lineRule="auto"/>
              <w:rPr>
                <w:rFonts w:ascii="Times New Roman" w:hAnsi="Times New Roman"/>
                <w:b/>
                <w:bCs/>
                <w:sz w:val="24"/>
                <w:szCs w:val="24"/>
                <w:u w:val="single"/>
              </w:rPr>
            </w:pPr>
            <w:r w:rsidRPr="00B817D9">
              <w:rPr>
                <w:rFonts w:ascii="Times New Roman" w:hAnsi="Times New Roman"/>
                <w:sz w:val="24"/>
              </w:rPr>
              <w:t>Na potrzeby sprawozdawczości we wzorze LR4 pozycje pozabilansowe związane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fin</w:t>
            </w:r>
            <w:r w:rsidRPr="00B817D9">
              <w:rPr>
                <w:rFonts w:ascii="Times New Roman" w:hAnsi="Times New Roman"/>
                <w:sz w:val="24"/>
              </w:rPr>
              <w:t>ansowaniem handlu dotyczą otwartych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pot</w:t>
            </w:r>
            <w:r w:rsidRPr="00B817D9">
              <w:rPr>
                <w:rFonts w:ascii="Times New Roman" w:hAnsi="Times New Roman"/>
                <w:sz w:val="24"/>
              </w:rPr>
              <w:t>wierdzonych importowych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eks</w:t>
            </w:r>
            <w:r w:rsidRPr="00B817D9">
              <w:rPr>
                <w:rFonts w:ascii="Times New Roman" w:hAnsi="Times New Roman"/>
                <w:sz w:val="24"/>
              </w:rPr>
              <w:t>portowych akredytyw krótkoterminowych, wygasających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chw</w:t>
            </w:r>
            <w:r w:rsidRPr="00B817D9">
              <w:rPr>
                <w:rFonts w:ascii="Times New Roman" w:hAnsi="Times New Roman"/>
                <w:sz w:val="24"/>
              </w:rPr>
              <w:t>ilą realizacji transakcji,</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tak</w:t>
            </w:r>
            <w:r w:rsidRPr="00B817D9">
              <w:rPr>
                <w:rFonts w:ascii="Times New Roman" w:hAnsi="Times New Roman"/>
                <w:sz w:val="24"/>
              </w:rPr>
              <w:t>że podobnych transakcji.</w:t>
            </w:r>
          </w:p>
        </w:tc>
      </w:tr>
      <w:tr w:rsidR="002A54FF" w:rsidRPr="00B817D9" w14:paraId="277256CF" w14:textId="77777777" w:rsidTr="000B66BC">
        <w:trPr>
          <w:trHeight w:val="1030"/>
        </w:trPr>
        <w:tc>
          <w:tcPr>
            <w:tcW w:w="1559" w:type="dxa"/>
            <w:shd w:val="clear" w:color="auto" w:fill="FFFFFF"/>
          </w:tcPr>
          <w:p w14:paraId="5B876EDF" w14:textId="3902F515"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{0030;0010}</w:t>
            </w:r>
          </w:p>
        </w:tc>
        <w:tc>
          <w:tcPr>
            <w:tcW w:w="7406" w:type="dxa"/>
            <w:shd w:val="clear" w:color="auto" w:fill="FFFFFF"/>
          </w:tcPr>
          <w:p w14:paraId="48F51CF2" w14:textId="136BAE69" w:rsidR="002509B1" w:rsidRPr="00B817D9" w:rsidRDefault="005E7B71"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ram</w:t>
            </w:r>
            <w:r w:rsidRPr="00B817D9">
              <w:rPr>
                <w:rFonts w:ascii="Times New Roman" w:hAnsi="Times New Roman"/>
                <w:b/>
                <w:sz w:val="24"/>
              </w:rPr>
              <w:t>ach urzędowego programu ubezpieczenia kredytów eksportowych – wartość ekspozycji wskaźnika dźwigni</w:t>
            </w:r>
          </w:p>
          <w:p w14:paraId="6B70A020" w14:textId="44EF38F0" w:rsidR="001F28E7" w:rsidRPr="00B817D9" w:rsidRDefault="00F4754B" w:rsidP="000B66BC">
            <w:pPr>
              <w:pStyle w:val="BodyText1"/>
              <w:spacing w:after="240" w:line="240" w:lineRule="auto"/>
              <w:rPr>
                <w:rFonts w:ascii="Times New Roman" w:hAnsi="Times New Roman"/>
                <w:sz w:val="24"/>
                <w:szCs w:val="24"/>
              </w:rPr>
            </w:pPr>
            <w:r w:rsidRPr="00B817D9">
              <w:rPr>
                <w:rFonts w:ascii="Times New Roman" w:hAnsi="Times New Roman"/>
                <w:sz w:val="24"/>
              </w:rPr>
              <w:lastRenderedPageBreak/>
              <w:t>Wartość ekspozycji wskaźnika dźwigni dla pozycji pozabilansowych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fin</w:t>
            </w:r>
            <w:r w:rsidRPr="00B817D9">
              <w:rPr>
                <w:rFonts w:ascii="Times New Roman" w:hAnsi="Times New Roman"/>
                <w:sz w:val="24"/>
              </w:rPr>
              <w:t>ansowaniem handlu</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urzędowego programu ubezpieczenia kredytów eksportowych.</w:t>
            </w:r>
          </w:p>
          <w:p w14:paraId="71BE2A86" w14:textId="15DA83DA" w:rsidR="002509B1"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Na potrzeby sprawozdawczości we wzorze LR4 urzędowy program ubezpieczenia kredytów eksportowych dotyczy oficjalnego wsparcia udzielanego przez rząd lub inny podmiot, taki jak agencja kredytów eksportowych,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m.in. kredytów bezpośrednich/finansowania bezpośredniego, refinansowania, subsydiowania stopy procentowej (w przypadku którego gwarantuje się stałe oprocentowanie przez okres kredytu), finansowania pomocy (kredyty</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dot</w:t>
            </w:r>
            <w:r w:rsidRPr="00B817D9">
              <w:rPr>
                <w:rFonts w:ascii="Times New Roman" w:hAnsi="Times New Roman"/>
                <w:sz w:val="24"/>
              </w:rPr>
              <w:t>acje), ubezpieczenia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gwa</w:t>
            </w:r>
            <w:r w:rsidRPr="00B817D9">
              <w:rPr>
                <w:rFonts w:ascii="Times New Roman" w:hAnsi="Times New Roman"/>
                <w:sz w:val="24"/>
              </w:rPr>
              <w:t>rancji kredytu eksportowego.</w:t>
            </w:r>
          </w:p>
        </w:tc>
      </w:tr>
      <w:tr w:rsidR="002A54FF" w:rsidRPr="00B817D9" w14:paraId="46968C9B" w14:textId="77777777" w:rsidTr="000B66BC">
        <w:trPr>
          <w:trHeight w:val="601"/>
        </w:trPr>
        <w:tc>
          <w:tcPr>
            <w:tcW w:w="1559" w:type="dxa"/>
            <w:shd w:val="clear" w:color="auto" w:fill="FFFFFF"/>
          </w:tcPr>
          <w:p w14:paraId="68790E0D" w14:textId="23854C88"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lastRenderedPageBreak/>
              <w:t>{0030;0020}</w:t>
            </w:r>
          </w:p>
        </w:tc>
        <w:tc>
          <w:tcPr>
            <w:tcW w:w="7406" w:type="dxa"/>
            <w:shd w:val="clear" w:color="auto" w:fill="FFFFFF"/>
          </w:tcPr>
          <w:p w14:paraId="071CF42C" w14:textId="64131AA3" w:rsidR="00F4754B" w:rsidRPr="00B817D9" w:rsidRDefault="005E7B71"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ram</w:t>
            </w:r>
            <w:r w:rsidRPr="00B817D9">
              <w:rPr>
                <w:rFonts w:ascii="Times New Roman" w:hAnsi="Times New Roman"/>
                <w:b/>
                <w:sz w:val="24"/>
              </w:rPr>
              <w:t>ach urzędowego programu ubezpieczenia kredytów eksportowych – kwota ekspozycji ważonej ryzykiem</w:t>
            </w:r>
          </w:p>
          <w:p w14:paraId="0E7BC811" w14:textId="35B38DCE" w:rsidR="001F28E7" w:rsidRPr="00B817D9" w:rsidRDefault="00F4754B" w:rsidP="000B66BC">
            <w:pPr>
              <w:pStyle w:val="BodyText1"/>
              <w:spacing w:after="240" w:line="240" w:lineRule="auto"/>
              <w:rPr>
                <w:rFonts w:ascii="Times New Roman" w:hAnsi="Times New Roman"/>
                <w:sz w:val="24"/>
                <w:szCs w:val="24"/>
              </w:rPr>
            </w:pPr>
            <w:r w:rsidRPr="00B817D9">
              <w:rPr>
                <w:rFonts w:ascii="Times New Roman" w:hAnsi="Times New Roman"/>
                <w:sz w:val="24"/>
              </w:rPr>
              <w:t>Wartość ekspozycji ważonej ryzykiem dla pozycji pozabilansowych –</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wył</w:t>
            </w:r>
            <w:r w:rsidRPr="00B817D9">
              <w:rPr>
                <w:rFonts w:ascii="Times New Roman" w:hAnsi="Times New Roman"/>
                <w:sz w:val="24"/>
              </w:rPr>
              <w:t>ączeniem SFT</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ins</w:t>
            </w:r>
            <w:r w:rsidRPr="00B817D9">
              <w:rPr>
                <w:rFonts w:ascii="Times New Roman" w:hAnsi="Times New Roman"/>
                <w:sz w:val="24"/>
              </w:rPr>
              <w:t>trumentów pochodnych –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fin</w:t>
            </w:r>
            <w:r w:rsidRPr="00B817D9">
              <w:rPr>
                <w:rFonts w:ascii="Times New Roman" w:hAnsi="Times New Roman"/>
                <w:sz w:val="24"/>
              </w:rPr>
              <w:t>ansowaniem handlu</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urzędowego programu ubezpieczenia kredytów eksportowych.</w:t>
            </w:r>
          </w:p>
          <w:p w14:paraId="2D3ADF55" w14:textId="092C3FEB" w:rsidR="002509B1"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Na potrzeby sprawozdawczości we wzorze LR4 urzędowy program ubezpieczenia kredytów eksportowych dotyczy oficjalnego wsparcia udzielanego przez rząd lub inny podmiot, taki jak agencja kredytów eksportowych,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m.in. kredytów bezpośrednich/finansowania bezpośredniego, refinansowania, subsydiowania stopy procentowej (w przypadku którego gwarantuje się stałe oprocentowanie przez okres kredytu), finansowania pomocy (kredyty</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dot</w:t>
            </w:r>
            <w:r w:rsidRPr="00B817D9">
              <w:rPr>
                <w:rFonts w:ascii="Times New Roman" w:hAnsi="Times New Roman"/>
                <w:sz w:val="24"/>
              </w:rPr>
              <w:t>acje), ubezpieczenia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gwa</w:t>
            </w:r>
            <w:r w:rsidRPr="00B817D9">
              <w:rPr>
                <w:rFonts w:ascii="Times New Roman" w:hAnsi="Times New Roman"/>
                <w:sz w:val="24"/>
              </w:rPr>
              <w:t>rancji kredytu eksportowego.</w:t>
            </w:r>
          </w:p>
        </w:tc>
      </w:tr>
      <w:tr w:rsidR="002A54FF" w:rsidRPr="00B817D9" w14:paraId="46D6302F" w14:textId="77777777" w:rsidTr="000B66BC">
        <w:trPr>
          <w:trHeight w:val="71"/>
        </w:trPr>
        <w:tc>
          <w:tcPr>
            <w:tcW w:w="1559" w:type="dxa"/>
            <w:shd w:val="clear" w:color="auto" w:fill="FFFFFF"/>
          </w:tcPr>
          <w:p w14:paraId="189CF026" w14:textId="3E532BFA"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{0040;0010}</w:t>
            </w:r>
          </w:p>
        </w:tc>
        <w:tc>
          <w:tcPr>
            <w:tcW w:w="7406" w:type="dxa"/>
            <w:shd w:val="clear" w:color="auto" w:fill="FFFFFF"/>
          </w:tcPr>
          <w:p w14:paraId="70B328B5" w14:textId="49161D5E"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Instrumenty pochodne i SFT objęte umową</w:t>
            </w:r>
            <w:r w:rsidR="00B817D9" w:rsidRPr="00B817D9">
              <w:rPr>
                <w:rFonts w:ascii="Times New Roman" w:hAnsi="Times New Roman"/>
                <w:b/>
                <w:sz w:val="24"/>
              </w:rPr>
              <w:t xml:space="preserve"> o</w:t>
            </w:r>
            <w:r w:rsidR="00B817D9">
              <w:rPr>
                <w:rFonts w:ascii="Times New Roman" w:hAnsi="Times New Roman"/>
                <w:b/>
                <w:sz w:val="24"/>
              </w:rPr>
              <w:t> </w:t>
            </w:r>
            <w:r w:rsidR="00B817D9" w:rsidRPr="00B817D9">
              <w:rPr>
                <w:rFonts w:ascii="Times New Roman" w:hAnsi="Times New Roman"/>
                <w:b/>
                <w:sz w:val="24"/>
              </w:rPr>
              <w:t>kom</w:t>
            </w:r>
            <w:r w:rsidRPr="00B817D9">
              <w:rPr>
                <w:rFonts w:ascii="Times New Roman" w:hAnsi="Times New Roman"/>
                <w:b/>
                <w:sz w:val="24"/>
              </w:rPr>
              <w:t>pensowaniu międzyproduktowym – wartość ekspozycji wskaźnika dźwigni</w:t>
            </w:r>
          </w:p>
          <w:p w14:paraId="04D3A7BA" w14:textId="66F59432" w:rsidR="002509B1" w:rsidRPr="00B817D9" w:rsidRDefault="00F4754B" w:rsidP="00F21A85">
            <w:pPr>
              <w:pStyle w:val="BodyText1"/>
              <w:spacing w:after="240" w:line="240" w:lineRule="auto"/>
              <w:rPr>
                <w:rFonts w:ascii="Times New Roman" w:hAnsi="Times New Roman"/>
                <w:b/>
                <w:bCs/>
                <w:sz w:val="24"/>
                <w:szCs w:val="24"/>
                <w:u w:val="single"/>
              </w:rPr>
            </w:pPr>
            <w:r w:rsidRPr="00B817D9">
              <w:rPr>
                <w:rFonts w:ascii="Times New Roman" w:hAnsi="Times New Roman"/>
                <w:sz w:val="24"/>
              </w:rPr>
              <w:t>Wartość ekspozycji wskaźnika dźwigni dla instrumentów pochodnych i SFT, jeżeli są one objęte umową</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pensowaniu międzyproduktowym zdefiniowaną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272 pkt</w:t>
            </w:r>
            <w:r w:rsidR="00B817D9" w:rsidRPr="00B817D9">
              <w:rPr>
                <w:rFonts w:ascii="Times New Roman" w:hAnsi="Times New Roman"/>
                <w:sz w:val="24"/>
              </w:rPr>
              <w:t> </w:t>
            </w:r>
            <w:r w:rsidRPr="00B817D9">
              <w:rPr>
                <w:rFonts w:ascii="Times New Roman" w:hAnsi="Times New Roman"/>
                <w:sz w:val="24"/>
              </w:rPr>
              <w:t>25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71AC64BB" w14:textId="77777777" w:rsidTr="000B66BC">
        <w:trPr>
          <w:trHeight w:val="71"/>
        </w:trPr>
        <w:tc>
          <w:tcPr>
            <w:tcW w:w="1559" w:type="dxa"/>
            <w:shd w:val="clear" w:color="auto" w:fill="FFFFFF"/>
          </w:tcPr>
          <w:p w14:paraId="22035BF5" w14:textId="02E9D935"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{0040;0020}</w:t>
            </w:r>
          </w:p>
        </w:tc>
        <w:tc>
          <w:tcPr>
            <w:tcW w:w="7406" w:type="dxa"/>
            <w:shd w:val="clear" w:color="auto" w:fill="FFFFFF"/>
          </w:tcPr>
          <w:p w14:paraId="6A93DC52" w14:textId="0BE4F85A"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Instrumenty pochodne i SFT objęte umową</w:t>
            </w:r>
            <w:r w:rsidR="00B817D9" w:rsidRPr="00B817D9">
              <w:rPr>
                <w:rFonts w:ascii="Times New Roman" w:hAnsi="Times New Roman"/>
                <w:b/>
                <w:sz w:val="24"/>
              </w:rPr>
              <w:t xml:space="preserve"> o</w:t>
            </w:r>
            <w:r w:rsidR="00B817D9">
              <w:rPr>
                <w:rFonts w:ascii="Times New Roman" w:hAnsi="Times New Roman"/>
                <w:b/>
                <w:sz w:val="24"/>
              </w:rPr>
              <w:t> </w:t>
            </w:r>
            <w:r w:rsidR="00B817D9" w:rsidRPr="00B817D9">
              <w:rPr>
                <w:rFonts w:ascii="Times New Roman" w:hAnsi="Times New Roman"/>
                <w:b/>
                <w:sz w:val="24"/>
              </w:rPr>
              <w:t>kom</w:t>
            </w:r>
            <w:r w:rsidRPr="00B817D9">
              <w:rPr>
                <w:rFonts w:ascii="Times New Roman" w:hAnsi="Times New Roman"/>
                <w:b/>
                <w:sz w:val="24"/>
              </w:rPr>
              <w:t>pensowaniu międzyproduktowym – kwota ekspozycji ważonej ryzykiem</w:t>
            </w:r>
          </w:p>
          <w:p w14:paraId="2D88BC4B" w14:textId="550B6E6A"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Kwoty ekspozycji ważonej ryzykiem</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ryzyka kredytowego</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ryz</w:t>
            </w:r>
            <w:r w:rsidRPr="00B817D9">
              <w:rPr>
                <w:rFonts w:ascii="Times New Roman" w:hAnsi="Times New Roman"/>
                <w:sz w:val="24"/>
              </w:rPr>
              <w:t>yka kredytowego kontrahenta, obliczane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ścią trzecią tytuł II rozporządzenia (UE) nr</w:t>
            </w:r>
            <w:r w:rsidR="00B817D9" w:rsidRPr="00B817D9">
              <w:rPr>
                <w:rFonts w:ascii="Times New Roman" w:hAnsi="Times New Roman"/>
                <w:sz w:val="24"/>
              </w:rPr>
              <w:t> </w:t>
            </w:r>
            <w:r w:rsidRPr="00B817D9">
              <w:rPr>
                <w:rFonts w:ascii="Times New Roman" w:hAnsi="Times New Roman"/>
                <w:sz w:val="24"/>
              </w:rPr>
              <w:t>575/2013, dla instrumentów pochodnych i SFT,</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kwoty ekspozycji dla pozycji pozabilansowych, jeżeli są one objęte umową</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pensowaniu międzyproduktowym zdefiniowaną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272 pkt</w:t>
            </w:r>
            <w:r w:rsidR="00B817D9" w:rsidRPr="00B817D9">
              <w:rPr>
                <w:rFonts w:ascii="Times New Roman" w:hAnsi="Times New Roman"/>
                <w:sz w:val="24"/>
              </w:rPr>
              <w:t> </w:t>
            </w:r>
            <w:r w:rsidRPr="00B817D9">
              <w:rPr>
                <w:rFonts w:ascii="Times New Roman" w:hAnsi="Times New Roman"/>
                <w:sz w:val="24"/>
              </w:rPr>
              <w:t>25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6FAD68FE" w14:textId="77777777" w:rsidTr="000B66BC">
        <w:trPr>
          <w:trHeight w:val="71"/>
        </w:trPr>
        <w:tc>
          <w:tcPr>
            <w:tcW w:w="1559" w:type="dxa"/>
            <w:shd w:val="clear" w:color="auto" w:fill="FFFFFF"/>
          </w:tcPr>
          <w:p w14:paraId="7DA151D1" w14:textId="1DC22948"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{0050;0010}</w:t>
            </w:r>
          </w:p>
        </w:tc>
        <w:tc>
          <w:tcPr>
            <w:tcW w:w="7406" w:type="dxa"/>
            <w:shd w:val="clear" w:color="auto" w:fill="FFFFFF"/>
          </w:tcPr>
          <w:p w14:paraId="37A53F91" w14:textId="52865572"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Instrumenty pochodne nieobjęte umową</w:t>
            </w:r>
            <w:r w:rsidR="00B817D9" w:rsidRPr="00B817D9">
              <w:rPr>
                <w:rFonts w:ascii="Times New Roman" w:hAnsi="Times New Roman"/>
                <w:b/>
                <w:sz w:val="24"/>
              </w:rPr>
              <w:t xml:space="preserve"> o</w:t>
            </w:r>
            <w:r w:rsidR="00B817D9">
              <w:rPr>
                <w:rFonts w:ascii="Times New Roman" w:hAnsi="Times New Roman"/>
                <w:b/>
                <w:sz w:val="24"/>
              </w:rPr>
              <w:t> </w:t>
            </w:r>
            <w:r w:rsidR="00B817D9" w:rsidRPr="00B817D9">
              <w:rPr>
                <w:rFonts w:ascii="Times New Roman" w:hAnsi="Times New Roman"/>
                <w:b/>
                <w:sz w:val="24"/>
              </w:rPr>
              <w:t>kom</w:t>
            </w:r>
            <w:r w:rsidRPr="00B817D9">
              <w:rPr>
                <w:rFonts w:ascii="Times New Roman" w:hAnsi="Times New Roman"/>
                <w:b/>
                <w:sz w:val="24"/>
              </w:rPr>
              <w:t>pensowaniu międzyproduktowym – wartość ekspozycji wskaźnika dźwigni</w:t>
            </w:r>
          </w:p>
          <w:p w14:paraId="48BC0234" w14:textId="3C713429"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sz w:val="24"/>
              </w:rPr>
              <w:lastRenderedPageBreak/>
              <w:t>Wartość ekspozycji wskaźnika dźwigni dla instrumentów pochodnych, jeżeli nie są one objęte umową</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pensowaniu międzyproduktowym zdefiniowaną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272 pkt</w:t>
            </w:r>
            <w:r w:rsidR="00B817D9" w:rsidRPr="00B817D9">
              <w:rPr>
                <w:rFonts w:ascii="Times New Roman" w:hAnsi="Times New Roman"/>
                <w:sz w:val="24"/>
              </w:rPr>
              <w:t> </w:t>
            </w:r>
            <w:r w:rsidRPr="00B817D9">
              <w:rPr>
                <w:rFonts w:ascii="Times New Roman" w:hAnsi="Times New Roman"/>
                <w:sz w:val="24"/>
              </w:rPr>
              <w:t>25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109BE50A" w14:textId="77777777" w:rsidTr="000B66BC">
        <w:trPr>
          <w:trHeight w:val="71"/>
        </w:trPr>
        <w:tc>
          <w:tcPr>
            <w:tcW w:w="1559" w:type="dxa"/>
            <w:shd w:val="clear" w:color="auto" w:fill="FFFFFF"/>
          </w:tcPr>
          <w:p w14:paraId="6AA1CBE3" w14:textId="7C7D5476"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{0050;0020}</w:t>
            </w:r>
          </w:p>
        </w:tc>
        <w:tc>
          <w:tcPr>
            <w:tcW w:w="7406" w:type="dxa"/>
            <w:shd w:val="clear" w:color="auto" w:fill="FFFFFF"/>
          </w:tcPr>
          <w:p w14:paraId="128CF8E8" w14:textId="343EAAFF"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Instrumenty pochodne nieobjęte umową</w:t>
            </w:r>
            <w:r w:rsidR="00B817D9" w:rsidRPr="00B817D9">
              <w:rPr>
                <w:rFonts w:ascii="Times New Roman" w:hAnsi="Times New Roman"/>
                <w:b/>
                <w:sz w:val="24"/>
              </w:rPr>
              <w:t xml:space="preserve"> o</w:t>
            </w:r>
            <w:r w:rsidR="00B817D9">
              <w:rPr>
                <w:rFonts w:ascii="Times New Roman" w:hAnsi="Times New Roman"/>
                <w:b/>
                <w:sz w:val="24"/>
              </w:rPr>
              <w:t> </w:t>
            </w:r>
            <w:r w:rsidR="00B817D9" w:rsidRPr="00B817D9">
              <w:rPr>
                <w:rFonts w:ascii="Times New Roman" w:hAnsi="Times New Roman"/>
                <w:b/>
                <w:sz w:val="24"/>
              </w:rPr>
              <w:t>kom</w:t>
            </w:r>
            <w:r w:rsidRPr="00B817D9">
              <w:rPr>
                <w:rFonts w:ascii="Times New Roman" w:hAnsi="Times New Roman"/>
                <w:b/>
                <w:sz w:val="24"/>
              </w:rPr>
              <w:t>pensowaniu międzyproduktowym – kwota ekspozycji ważonej ryzykiem</w:t>
            </w:r>
          </w:p>
          <w:p w14:paraId="328E1A83" w14:textId="4EE8A1A7" w:rsidR="002509B1" w:rsidRPr="00B817D9" w:rsidRDefault="00F4754B" w:rsidP="00F21A85">
            <w:pPr>
              <w:pStyle w:val="BodyText1"/>
              <w:spacing w:after="240" w:line="240" w:lineRule="auto"/>
              <w:rPr>
                <w:rFonts w:ascii="Times New Roman" w:hAnsi="Times New Roman"/>
                <w:b/>
                <w:bCs/>
                <w:sz w:val="24"/>
                <w:szCs w:val="24"/>
              </w:rPr>
            </w:pPr>
            <w:r w:rsidRPr="00B817D9">
              <w:rPr>
                <w:rFonts w:ascii="Times New Roman" w:hAnsi="Times New Roman"/>
                <w:sz w:val="24"/>
              </w:rPr>
              <w:t>Kwoty ekspozycji ważonej ryzykiem</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ryzyka kredytowego</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ryz</w:t>
            </w:r>
            <w:r w:rsidRPr="00B817D9">
              <w:rPr>
                <w:rFonts w:ascii="Times New Roman" w:hAnsi="Times New Roman"/>
                <w:sz w:val="24"/>
              </w:rPr>
              <w:t>yka kredytowego kontrahenta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instrumentów pochodnych, obliczane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ścią trzecią tytuł II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kwoty ekspozycji pozycji pozabilansowych, jeżeli nie są one objęte umową</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pensowaniu międzyproduktowym zdefiniowaną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272 pkt</w:t>
            </w:r>
            <w:r w:rsidR="00B817D9" w:rsidRPr="00B817D9">
              <w:rPr>
                <w:rFonts w:ascii="Times New Roman" w:hAnsi="Times New Roman"/>
                <w:sz w:val="24"/>
              </w:rPr>
              <w:t> </w:t>
            </w:r>
            <w:r w:rsidRPr="00B817D9">
              <w:rPr>
                <w:rFonts w:ascii="Times New Roman" w:hAnsi="Times New Roman"/>
                <w:sz w:val="24"/>
              </w:rPr>
              <w:t>25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250886B1" w14:textId="77777777" w:rsidTr="000B66BC">
        <w:trPr>
          <w:trHeight w:val="71"/>
        </w:trPr>
        <w:tc>
          <w:tcPr>
            <w:tcW w:w="1559" w:type="dxa"/>
            <w:shd w:val="clear" w:color="auto" w:fill="FFFFFF"/>
          </w:tcPr>
          <w:p w14:paraId="47AE751E" w14:textId="7CC20598"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{0060;0010}</w:t>
            </w:r>
          </w:p>
        </w:tc>
        <w:tc>
          <w:tcPr>
            <w:tcW w:w="7406" w:type="dxa"/>
            <w:shd w:val="clear" w:color="auto" w:fill="FFFFFF"/>
          </w:tcPr>
          <w:p w14:paraId="62FDB809" w14:textId="227B0A73"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SFT nieobjęte umową</w:t>
            </w:r>
            <w:r w:rsidR="00B817D9" w:rsidRPr="00B817D9">
              <w:rPr>
                <w:rFonts w:ascii="Times New Roman" w:hAnsi="Times New Roman"/>
                <w:b/>
                <w:sz w:val="24"/>
              </w:rPr>
              <w:t xml:space="preserve"> o</w:t>
            </w:r>
            <w:r w:rsidR="00B817D9">
              <w:rPr>
                <w:rFonts w:ascii="Times New Roman" w:hAnsi="Times New Roman"/>
                <w:b/>
                <w:sz w:val="24"/>
              </w:rPr>
              <w:t> </w:t>
            </w:r>
            <w:r w:rsidR="00B817D9" w:rsidRPr="00B817D9">
              <w:rPr>
                <w:rFonts w:ascii="Times New Roman" w:hAnsi="Times New Roman"/>
                <w:b/>
                <w:sz w:val="24"/>
              </w:rPr>
              <w:t>kom</w:t>
            </w:r>
            <w:r w:rsidRPr="00B817D9">
              <w:rPr>
                <w:rFonts w:ascii="Times New Roman" w:hAnsi="Times New Roman"/>
                <w:b/>
                <w:sz w:val="24"/>
              </w:rPr>
              <w:t>pensowaniu międzyproduktowym – wartość ekspozycji wskaźnika dźwigni</w:t>
            </w:r>
          </w:p>
          <w:p w14:paraId="621A4651" w14:textId="51369469" w:rsidR="000A486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sz w:val="24"/>
              </w:rPr>
              <w:t>Wartość ekspozycji wskaźnika dźwigni dla ekspozycji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SFT, jeżeli nie są one objęte umową</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pensowaniu międzyproduktowym zdefiniowaną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272 pkt</w:t>
            </w:r>
            <w:r w:rsidR="00B817D9" w:rsidRPr="00B817D9">
              <w:rPr>
                <w:rFonts w:ascii="Times New Roman" w:hAnsi="Times New Roman"/>
                <w:sz w:val="24"/>
              </w:rPr>
              <w:t> </w:t>
            </w:r>
            <w:r w:rsidRPr="00B817D9">
              <w:rPr>
                <w:rFonts w:ascii="Times New Roman" w:hAnsi="Times New Roman"/>
                <w:sz w:val="24"/>
              </w:rPr>
              <w:t>25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02CE5A4B" w14:textId="77777777" w:rsidTr="000B66BC">
        <w:trPr>
          <w:trHeight w:val="71"/>
        </w:trPr>
        <w:tc>
          <w:tcPr>
            <w:tcW w:w="1559" w:type="dxa"/>
            <w:shd w:val="clear" w:color="auto" w:fill="FFFFFF"/>
          </w:tcPr>
          <w:p w14:paraId="5323F20A" w14:textId="5C57C5D6"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{0060;0020}</w:t>
            </w:r>
          </w:p>
        </w:tc>
        <w:tc>
          <w:tcPr>
            <w:tcW w:w="7406" w:type="dxa"/>
            <w:shd w:val="clear" w:color="auto" w:fill="FFFFFF"/>
          </w:tcPr>
          <w:p w14:paraId="25095D40" w14:textId="64AABB3B"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SFT nieobjęte umową</w:t>
            </w:r>
            <w:r w:rsidR="00B817D9" w:rsidRPr="00B817D9">
              <w:rPr>
                <w:rFonts w:ascii="Times New Roman" w:hAnsi="Times New Roman"/>
                <w:b/>
                <w:sz w:val="24"/>
              </w:rPr>
              <w:t xml:space="preserve"> o</w:t>
            </w:r>
            <w:r w:rsidR="00B817D9">
              <w:rPr>
                <w:rFonts w:ascii="Times New Roman" w:hAnsi="Times New Roman"/>
                <w:b/>
                <w:sz w:val="24"/>
              </w:rPr>
              <w:t> </w:t>
            </w:r>
            <w:r w:rsidR="00B817D9" w:rsidRPr="00B817D9">
              <w:rPr>
                <w:rFonts w:ascii="Times New Roman" w:hAnsi="Times New Roman"/>
                <w:b/>
                <w:sz w:val="24"/>
              </w:rPr>
              <w:t>kom</w:t>
            </w:r>
            <w:r w:rsidRPr="00B817D9">
              <w:rPr>
                <w:rFonts w:ascii="Times New Roman" w:hAnsi="Times New Roman"/>
                <w:b/>
                <w:sz w:val="24"/>
              </w:rPr>
              <w:t>pensowaniu międzyproduktowym – kwota ekspozycji ważonej ryzykiem</w:t>
            </w:r>
          </w:p>
          <w:p w14:paraId="0358DACB" w14:textId="3AE45571" w:rsidR="002509B1" w:rsidRPr="00B817D9" w:rsidRDefault="00F4754B" w:rsidP="00F21A85">
            <w:pPr>
              <w:pStyle w:val="BodyText1"/>
              <w:spacing w:after="240" w:line="240" w:lineRule="auto"/>
              <w:rPr>
                <w:rFonts w:ascii="Times New Roman" w:hAnsi="Times New Roman"/>
                <w:b/>
                <w:bCs/>
                <w:sz w:val="24"/>
                <w:szCs w:val="24"/>
              </w:rPr>
            </w:pPr>
            <w:r w:rsidRPr="00B817D9">
              <w:rPr>
                <w:rFonts w:ascii="Times New Roman" w:hAnsi="Times New Roman"/>
                <w:sz w:val="24"/>
              </w:rPr>
              <w:t>Kwoty ekspozycji ważonej ryzykiem</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odn</w:t>
            </w:r>
            <w:r w:rsidRPr="00B817D9">
              <w:rPr>
                <w:rFonts w:ascii="Times New Roman" w:hAnsi="Times New Roman"/>
                <w:sz w:val="24"/>
              </w:rPr>
              <w:t>iesieniu do ryzyka kredytowego</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ryz</w:t>
            </w:r>
            <w:r w:rsidRPr="00B817D9">
              <w:rPr>
                <w:rFonts w:ascii="Times New Roman" w:hAnsi="Times New Roman"/>
                <w:sz w:val="24"/>
              </w:rPr>
              <w:t>yka kredytowego kontrahenta</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SFT, obliczane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czę</w:t>
            </w:r>
            <w:r w:rsidRPr="00B817D9">
              <w:rPr>
                <w:rFonts w:ascii="Times New Roman" w:hAnsi="Times New Roman"/>
                <w:sz w:val="24"/>
              </w:rPr>
              <w:t>ścią trzecią tytuł II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kwoty ekspozycji pozycji pozabilansowych, jeżeli nie są one objęte umową</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pensowaniu międzyproduktowym zdefiniowaną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272 pkt</w:t>
            </w:r>
            <w:r w:rsidR="00B817D9" w:rsidRPr="00B817D9">
              <w:rPr>
                <w:rFonts w:ascii="Times New Roman" w:hAnsi="Times New Roman"/>
                <w:sz w:val="24"/>
              </w:rPr>
              <w:t> </w:t>
            </w:r>
            <w:r w:rsidRPr="00B817D9">
              <w:rPr>
                <w:rFonts w:ascii="Times New Roman" w:hAnsi="Times New Roman"/>
                <w:sz w:val="24"/>
              </w:rPr>
              <w:t>25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53E747C0" w14:textId="77777777" w:rsidTr="000B66BC">
        <w:trPr>
          <w:trHeight w:val="71"/>
        </w:trPr>
        <w:tc>
          <w:tcPr>
            <w:tcW w:w="1559" w:type="dxa"/>
            <w:shd w:val="clear" w:color="auto" w:fill="FFFFFF"/>
          </w:tcPr>
          <w:p w14:paraId="416A99BB" w14:textId="71684C56" w:rsidR="00465521" w:rsidRPr="00B817D9" w:rsidRDefault="00465521" w:rsidP="000B66BC">
            <w:pPr>
              <w:pStyle w:val="BodyText1"/>
              <w:spacing w:after="240"/>
              <w:rPr>
                <w:rFonts w:ascii="Times New Roman" w:hAnsi="Times New Roman"/>
                <w:bCs/>
                <w:sz w:val="24"/>
                <w:szCs w:val="24"/>
              </w:rPr>
            </w:pPr>
            <w:r w:rsidRPr="00B817D9">
              <w:rPr>
                <w:rFonts w:ascii="Times New Roman" w:hAnsi="Times New Roman"/>
                <w:sz w:val="24"/>
              </w:rPr>
              <w:t>{0065;0010}</w:t>
            </w:r>
          </w:p>
        </w:tc>
        <w:tc>
          <w:tcPr>
            <w:tcW w:w="7406" w:type="dxa"/>
            <w:shd w:val="clear" w:color="auto" w:fill="FFFFFF"/>
          </w:tcPr>
          <w:p w14:paraId="40B65940" w14:textId="1E8246EE" w:rsidR="004968DF" w:rsidRPr="00B817D9" w:rsidRDefault="004968DF"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Kwoty ekspozycji wynikające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dod</w:t>
            </w:r>
            <w:r w:rsidRPr="00B817D9">
              <w:rPr>
                <w:rFonts w:ascii="Times New Roman" w:hAnsi="Times New Roman"/>
                <w:b/>
                <w:sz w:val="24"/>
              </w:rPr>
              <w:t>atkowego traktowania kredytowych instrumentów pochodnych – wartość ekspozycji wskaźnika dźwigni</w:t>
            </w:r>
          </w:p>
          <w:p w14:paraId="1E879EE4" w14:textId="4271F224" w:rsidR="00EC2C14" w:rsidRPr="00B817D9" w:rsidRDefault="000D3973" w:rsidP="000B66BC">
            <w:pPr>
              <w:pStyle w:val="BodyText1"/>
              <w:spacing w:after="240" w:line="240" w:lineRule="auto"/>
              <w:rPr>
                <w:rFonts w:ascii="Times New Roman" w:hAnsi="Times New Roman"/>
                <w:b/>
                <w:bCs/>
                <w:sz w:val="24"/>
                <w:szCs w:val="24"/>
              </w:rPr>
            </w:pPr>
            <w:r w:rsidRPr="00B817D9">
              <w:rPr>
                <w:rFonts w:ascii="Times New Roman" w:hAnsi="Times New Roman"/>
                <w:sz w:val="24"/>
              </w:rPr>
              <w:t>Komórka ta jest równa różnicy między {LRCalc;0130;0010} i {LRCalc;0140;0010},</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wył</w:t>
            </w:r>
            <w:r w:rsidRPr="00B817D9">
              <w:rPr>
                <w:rFonts w:ascii="Times New Roman" w:hAnsi="Times New Roman"/>
                <w:sz w:val="24"/>
              </w:rPr>
              <w:t>ączeniem odpowiednich ekspozycji wewnątrzgrupowych (na zasadzie nieskonsolidowanej) wyłączonych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429a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07289AF9" w14:textId="77777777" w:rsidTr="000B66BC">
        <w:trPr>
          <w:trHeight w:val="71"/>
        </w:trPr>
        <w:tc>
          <w:tcPr>
            <w:tcW w:w="1559" w:type="dxa"/>
            <w:shd w:val="clear" w:color="auto" w:fill="FFFFFF"/>
          </w:tcPr>
          <w:p w14:paraId="6AB8700E" w14:textId="3A0BBEE5"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{0070;0010}</w:t>
            </w:r>
          </w:p>
        </w:tc>
        <w:tc>
          <w:tcPr>
            <w:tcW w:w="7406" w:type="dxa"/>
            <w:shd w:val="clear" w:color="auto" w:fill="FFFFFF"/>
          </w:tcPr>
          <w:p w14:paraId="330EEA74" w14:textId="3FC00B7E"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Inne aktywa należące do portfela handlowego – wartość ekspozycji wskaźnika dźwigni</w:t>
            </w:r>
          </w:p>
          <w:p w14:paraId="1E037EEA" w14:textId="16952250" w:rsidR="002509B1"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pozycji zgłoszonych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órce {LRCalc;0190;0010},</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wył</w:t>
            </w:r>
            <w:r w:rsidRPr="00B817D9">
              <w:rPr>
                <w:rFonts w:ascii="Times New Roman" w:hAnsi="Times New Roman"/>
                <w:sz w:val="24"/>
              </w:rPr>
              <w:t>ączeniem pozycji</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por</w:t>
            </w:r>
            <w:r w:rsidRPr="00B817D9">
              <w:rPr>
                <w:rFonts w:ascii="Times New Roman" w:hAnsi="Times New Roman"/>
                <w:sz w:val="24"/>
              </w:rPr>
              <w:t>tfela bankowego.</w:t>
            </w:r>
          </w:p>
        </w:tc>
      </w:tr>
      <w:tr w:rsidR="002A54FF" w:rsidRPr="00B817D9" w14:paraId="57915034" w14:textId="77777777" w:rsidTr="000B66BC">
        <w:trPr>
          <w:trHeight w:val="71"/>
        </w:trPr>
        <w:tc>
          <w:tcPr>
            <w:tcW w:w="1559" w:type="dxa"/>
            <w:shd w:val="clear" w:color="auto" w:fill="FFFFFF"/>
          </w:tcPr>
          <w:p w14:paraId="3BCDEC45" w14:textId="088A2CCB"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{0070;0020}</w:t>
            </w:r>
          </w:p>
        </w:tc>
        <w:tc>
          <w:tcPr>
            <w:tcW w:w="7406" w:type="dxa"/>
            <w:shd w:val="clear" w:color="auto" w:fill="FFFFFF"/>
          </w:tcPr>
          <w:p w14:paraId="6FF1BCA1" w14:textId="350A5995"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Inne aktywa należące do portfela handlowego – kwota ekspozycji ważonej ryzykiem</w:t>
            </w:r>
          </w:p>
          <w:p w14:paraId="17C0B94C" w14:textId="01419A13" w:rsidR="002509B1"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lastRenderedPageBreak/>
              <w:t>Wymogi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zak</w:t>
            </w:r>
            <w:r w:rsidRPr="00B817D9">
              <w:rPr>
                <w:rFonts w:ascii="Times New Roman" w:hAnsi="Times New Roman"/>
                <w:sz w:val="24"/>
              </w:rPr>
              <w:t>resie funduszy własnych pomnożone przez 12,5 odniesione do pozycji objętych częścią trzecią tytuł IV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30AD6972" w14:textId="77777777" w:rsidTr="000B66BC">
        <w:trPr>
          <w:trHeight w:val="71"/>
        </w:trPr>
        <w:tc>
          <w:tcPr>
            <w:tcW w:w="1559" w:type="dxa"/>
            <w:shd w:val="clear" w:color="auto" w:fill="FFFFFF"/>
          </w:tcPr>
          <w:p w14:paraId="7CBED28C" w14:textId="1FF40440"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{0080;0010}</w:t>
            </w:r>
          </w:p>
        </w:tc>
        <w:tc>
          <w:tcPr>
            <w:tcW w:w="7406" w:type="dxa"/>
            <w:shd w:val="clear" w:color="auto" w:fill="FFFFFF"/>
          </w:tcPr>
          <w:p w14:paraId="02FC2330" w14:textId="48A8E24A"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pos</w:t>
            </w:r>
            <w:r w:rsidRPr="00B817D9">
              <w:rPr>
                <w:rFonts w:ascii="Times New Roman" w:hAnsi="Times New Roman"/>
                <w:b/>
                <w:sz w:val="24"/>
              </w:rPr>
              <w:t>taci obligacji zabezpieczonych – wartość ekspozycji wskaźnika dźwigni – ekspozycje według metody standardowej</w:t>
            </w:r>
          </w:p>
          <w:p w14:paraId="7DABED3A" w14:textId="3355C54C" w:rsidR="002509B1"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obligacji zabezpieczonych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129 rozporządzenia (UE) nr</w:t>
            </w:r>
            <w:r w:rsidR="00B817D9" w:rsidRPr="00B817D9">
              <w:rPr>
                <w:rFonts w:ascii="Times New Roman" w:hAnsi="Times New Roman"/>
                <w:sz w:val="24"/>
              </w:rPr>
              <w:t> </w:t>
            </w:r>
            <w:r w:rsidRPr="00B817D9">
              <w:rPr>
                <w:rFonts w:ascii="Times New Roman" w:hAnsi="Times New Roman"/>
                <w:sz w:val="24"/>
              </w:rPr>
              <w:t>575/2013.</w:t>
            </w:r>
          </w:p>
          <w:p w14:paraId="1426D45B" w14:textId="0DF44122" w:rsidR="00086A8A"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56ECC5B8" w14:textId="77777777" w:rsidTr="000B66BC">
        <w:trPr>
          <w:trHeight w:val="71"/>
        </w:trPr>
        <w:tc>
          <w:tcPr>
            <w:tcW w:w="1559" w:type="dxa"/>
            <w:shd w:val="clear" w:color="auto" w:fill="FFFFFF"/>
          </w:tcPr>
          <w:p w14:paraId="07B311B6" w14:textId="2F59A0E8"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{0080;0020}</w:t>
            </w:r>
          </w:p>
        </w:tc>
        <w:tc>
          <w:tcPr>
            <w:tcW w:w="7406" w:type="dxa"/>
            <w:shd w:val="clear" w:color="auto" w:fill="FFFFFF"/>
          </w:tcPr>
          <w:p w14:paraId="7BBB17AE" w14:textId="468C1759"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pos</w:t>
            </w:r>
            <w:r w:rsidRPr="00B817D9">
              <w:rPr>
                <w:rFonts w:ascii="Times New Roman" w:hAnsi="Times New Roman"/>
                <w:b/>
                <w:sz w:val="24"/>
              </w:rPr>
              <w:t>taci obligacji zabezpieczonych – wartość ekspozycji wskaźnika dźwigni – ekspozycje według metody IRB</w:t>
            </w:r>
          </w:p>
          <w:p w14:paraId="31EFC20D" w14:textId="788C57DD"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IRB</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obligacji zabezpieczonych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161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 rozporządzenia (UE) nr</w:t>
            </w:r>
            <w:r w:rsidR="00B817D9" w:rsidRPr="00B817D9">
              <w:rPr>
                <w:rFonts w:ascii="Times New Roman" w:hAnsi="Times New Roman"/>
                <w:sz w:val="24"/>
              </w:rPr>
              <w:t> </w:t>
            </w:r>
            <w:r w:rsidRPr="00B817D9">
              <w:rPr>
                <w:rFonts w:ascii="Times New Roman" w:hAnsi="Times New Roman"/>
                <w:sz w:val="24"/>
              </w:rPr>
              <w:t>575/2013.</w:t>
            </w:r>
          </w:p>
          <w:p w14:paraId="69149D8B" w14:textId="5AF9D0AA" w:rsidR="002509B1" w:rsidRPr="00B817D9" w:rsidRDefault="009C4E79"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IRB, których dotyczy niewykonanie zobowiązania.</w:t>
            </w:r>
          </w:p>
        </w:tc>
      </w:tr>
      <w:tr w:rsidR="002A54FF" w:rsidRPr="00B817D9" w14:paraId="1CBCAE59" w14:textId="77777777" w:rsidTr="000B66BC">
        <w:trPr>
          <w:trHeight w:val="71"/>
        </w:trPr>
        <w:tc>
          <w:tcPr>
            <w:tcW w:w="1559" w:type="dxa"/>
            <w:shd w:val="clear" w:color="auto" w:fill="FFFFFF"/>
          </w:tcPr>
          <w:p w14:paraId="546A1715" w14:textId="2259578F"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{0080;0030}</w:t>
            </w:r>
          </w:p>
        </w:tc>
        <w:tc>
          <w:tcPr>
            <w:tcW w:w="7406" w:type="dxa"/>
            <w:shd w:val="clear" w:color="auto" w:fill="FFFFFF"/>
          </w:tcPr>
          <w:p w14:paraId="05046869" w14:textId="53024AE5"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pos</w:t>
            </w:r>
            <w:r w:rsidRPr="00B817D9">
              <w:rPr>
                <w:rFonts w:ascii="Times New Roman" w:hAnsi="Times New Roman"/>
                <w:b/>
                <w:sz w:val="24"/>
              </w:rPr>
              <w:t>taci obligacji zabezpieczonych – kwota ekspozycji ważonej ryzykiem – ekspozycje według metody standardowej</w:t>
            </w:r>
          </w:p>
          <w:p w14:paraId="6C4B05A8" w14:textId="4A637A07"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standardowej</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obligacji zabezpieczonych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129 rozporządzenia (UE) nr</w:t>
            </w:r>
            <w:r w:rsidR="00B817D9" w:rsidRPr="00B817D9">
              <w:rPr>
                <w:rFonts w:ascii="Times New Roman" w:hAnsi="Times New Roman"/>
                <w:sz w:val="24"/>
              </w:rPr>
              <w:t> </w:t>
            </w:r>
            <w:r w:rsidRPr="00B817D9">
              <w:rPr>
                <w:rFonts w:ascii="Times New Roman" w:hAnsi="Times New Roman"/>
                <w:sz w:val="24"/>
              </w:rPr>
              <w:t>575/2013.</w:t>
            </w:r>
          </w:p>
          <w:p w14:paraId="44B63283" w14:textId="34A33B6E" w:rsidR="00086A8A"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49349ECB" w14:textId="77777777" w:rsidTr="000B66BC">
        <w:trPr>
          <w:trHeight w:val="71"/>
        </w:trPr>
        <w:tc>
          <w:tcPr>
            <w:tcW w:w="1559" w:type="dxa"/>
            <w:shd w:val="clear" w:color="auto" w:fill="FFFFFF"/>
          </w:tcPr>
          <w:p w14:paraId="0D794F3F" w14:textId="2F016AE6"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{0080;0040}</w:t>
            </w:r>
          </w:p>
        </w:tc>
        <w:tc>
          <w:tcPr>
            <w:tcW w:w="7406" w:type="dxa"/>
            <w:shd w:val="clear" w:color="auto" w:fill="FFFFFF"/>
          </w:tcPr>
          <w:p w14:paraId="513DAEE1" w14:textId="31020B19"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pos</w:t>
            </w:r>
            <w:r w:rsidRPr="00B817D9">
              <w:rPr>
                <w:rFonts w:ascii="Times New Roman" w:hAnsi="Times New Roman"/>
                <w:b/>
                <w:sz w:val="24"/>
              </w:rPr>
              <w:t>taci obligacji zabezpieczonych – kwota ekspozycji ważonej ryzykiem – ekspozycje według metody IRB</w:t>
            </w:r>
          </w:p>
          <w:p w14:paraId="466ABC6A" w14:textId="242823A9"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obligacji zabezpieczonych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161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 rozporządzenia (UE) nr</w:t>
            </w:r>
            <w:r w:rsidR="00B817D9" w:rsidRPr="00B817D9">
              <w:rPr>
                <w:rFonts w:ascii="Times New Roman" w:hAnsi="Times New Roman"/>
                <w:sz w:val="24"/>
              </w:rPr>
              <w:t> </w:t>
            </w:r>
            <w:r w:rsidRPr="00B817D9">
              <w:rPr>
                <w:rFonts w:ascii="Times New Roman" w:hAnsi="Times New Roman"/>
                <w:sz w:val="24"/>
              </w:rPr>
              <w:t>575/2013.</w:t>
            </w:r>
          </w:p>
          <w:p w14:paraId="64310FB6" w14:textId="6BA49164" w:rsidR="009C4E79" w:rsidRPr="00B817D9" w:rsidRDefault="009C4E79"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IRB, których dotyczy niewykonanie zobowiązania.</w:t>
            </w:r>
          </w:p>
        </w:tc>
      </w:tr>
      <w:tr w:rsidR="002A54FF" w:rsidRPr="00B817D9" w14:paraId="00C56CBD" w14:textId="77777777" w:rsidTr="000B66BC">
        <w:trPr>
          <w:trHeight w:val="71"/>
        </w:trPr>
        <w:tc>
          <w:tcPr>
            <w:tcW w:w="1559" w:type="dxa"/>
            <w:shd w:val="clear" w:color="auto" w:fill="FFFFFF"/>
          </w:tcPr>
          <w:p w14:paraId="02BCBE3F" w14:textId="6D5D74E3"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{0090;0010}</w:t>
            </w:r>
          </w:p>
        </w:tc>
        <w:tc>
          <w:tcPr>
            <w:tcW w:w="7406" w:type="dxa"/>
            <w:shd w:val="clear" w:color="auto" w:fill="FFFFFF"/>
          </w:tcPr>
          <w:p w14:paraId="7C0C026C" w14:textId="236A8C03"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traktowane jako ekspozycje wobec państwa – wartość ekspozycji wskaźnika dźwigni – ekspozycje według metody standardowej</w:t>
            </w:r>
          </w:p>
          <w:p w14:paraId="0909B157" w14:textId="2673F018"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od {0100;0010} do {0130;0010}.</w:t>
            </w:r>
          </w:p>
          <w:p w14:paraId="144D9E7A" w14:textId="795F478B" w:rsidR="002509B1" w:rsidRPr="00B817D9" w:rsidRDefault="00086A8A" w:rsidP="000B66BC">
            <w:pPr>
              <w:pStyle w:val="BodyText1"/>
              <w:spacing w:after="240" w:line="240" w:lineRule="auto"/>
              <w:rPr>
                <w:rFonts w:ascii="Times New Roman" w:hAnsi="Times New Roman"/>
                <w:sz w:val="24"/>
                <w:szCs w:val="24"/>
              </w:rPr>
            </w:pPr>
            <w:r w:rsidRPr="00B817D9">
              <w:rPr>
                <w:rFonts w:ascii="Times New Roman" w:hAnsi="Times New Roman"/>
                <w:sz w:val="24"/>
              </w:rPr>
              <w:lastRenderedPageBreak/>
              <w:t>Instytucje nie zgłaszają tu ekspozycji według metody standardowej, których dotyczy niewykonanie zobowiązania.</w:t>
            </w:r>
          </w:p>
        </w:tc>
      </w:tr>
      <w:tr w:rsidR="002A54FF" w:rsidRPr="00B817D9" w14:paraId="312BA98B" w14:textId="77777777" w:rsidTr="000B66BC">
        <w:trPr>
          <w:trHeight w:val="71"/>
        </w:trPr>
        <w:tc>
          <w:tcPr>
            <w:tcW w:w="1559" w:type="dxa"/>
            <w:shd w:val="clear" w:color="auto" w:fill="FFFFFF"/>
          </w:tcPr>
          <w:p w14:paraId="30E94DE7" w14:textId="72315A87"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lastRenderedPageBreak/>
              <w:t>{0090;0020}</w:t>
            </w:r>
          </w:p>
        </w:tc>
        <w:tc>
          <w:tcPr>
            <w:tcW w:w="7406" w:type="dxa"/>
            <w:shd w:val="clear" w:color="auto" w:fill="FFFFFF"/>
          </w:tcPr>
          <w:p w14:paraId="015E5616"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traktowane jako ekspozycje wobec państwa – wartość ekspozycji wskaźnika dźwigni – ekspozycje według metody IRB</w:t>
            </w:r>
          </w:p>
          <w:p w14:paraId="361C00EC" w14:textId="191A9CA8"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od {0100;0020} do {0130;0020}.</w:t>
            </w:r>
          </w:p>
          <w:p w14:paraId="4CE96745" w14:textId="2CF889E3"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0C1D3372" w14:textId="77777777" w:rsidTr="000B66BC">
        <w:trPr>
          <w:trHeight w:val="71"/>
        </w:trPr>
        <w:tc>
          <w:tcPr>
            <w:tcW w:w="1559" w:type="dxa"/>
            <w:shd w:val="clear" w:color="auto" w:fill="FFFFFF"/>
          </w:tcPr>
          <w:p w14:paraId="73140D6A" w14:textId="181D4B94"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{0090;0030}</w:t>
            </w:r>
          </w:p>
        </w:tc>
        <w:tc>
          <w:tcPr>
            <w:tcW w:w="7406" w:type="dxa"/>
            <w:shd w:val="clear" w:color="auto" w:fill="FFFFFF"/>
          </w:tcPr>
          <w:p w14:paraId="63538621" w14:textId="36E91980"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traktowane jako ekspozycje wobec państwa – kwota ekspozycji ważonej ryzykiem – ekspozycje według metody standardowej</w:t>
            </w:r>
          </w:p>
          <w:p w14:paraId="2FE3A5A6" w14:textId="0A48A5C7"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od {0100;0030} do {0130;0030}.</w:t>
            </w:r>
          </w:p>
          <w:p w14:paraId="576656CF" w14:textId="7109E0FD"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6675B4A2" w14:textId="77777777" w:rsidTr="000B66BC">
        <w:trPr>
          <w:trHeight w:val="71"/>
        </w:trPr>
        <w:tc>
          <w:tcPr>
            <w:tcW w:w="1559" w:type="dxa"/>
            <w:shd w:val="clear" w:color="auto" w:fill="FFFFFF"/>
          </w:tcPr>
          <w:p w14:paraId="574B53A3" w14:textId="5AEDFC5A"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{0090;0040}</w:t>
            </w:r>
          </w:p>
        </w:tc>
        <w:tc>
          <w:tcPr>
            <w:tcW w:w="7406" w:type="dxa"/>
            <w:shd w:val="clear" w:color="auto" w:fill="FFFFFF"/>
          </w:tcPr>
          <w:p w14:paraId="7FD46908" w14:textId="76F6E52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traktowane jako ekspozycje wobec państwa – kwota ekspozycji ważonej ryzykiem – ekspozycje według metody IRB</w:t>
            </w:r>
          </w:p>
          <w:p w14:paraId="0EE39545" w14:textId="4A51FB51"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od {0100;0040} do {0130;0040}.</w:t>
            </w:r>
          </w:p>
          <w:p w14:paraId="21E4ED70" w14:textId="10D77DF8"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7DDC06EC" w14:textId="77777777" w:rsidTr="000B66BC">
        <w:trPr>
          <w:trHeight w:val="71"/>
        </w:trPr>
        <w:tc>
          <w:tcPr>
            <w:tcW w:w="1559" w:type="dxa"/>
            <w:shd w:val="clear" w:color="auto" w:fill="FFFFFF"/>
          </w:tcPr>
          <w:p w14:paraId="4C9F879D" w14:textId="3D24C7CE"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{0100;0010}</w:t>
            </w:r>
          </w:p>
        </w:tc>
        <w:tc>
          <w:tcPr>
            <w:tcW w:w="7406" w:type="dxa"/>
            <w:shd w:val="clear" w:color="auto" w:fill="FFFFFF"/>
          </w:tcPr>
          <w:p w14:paraId="1F2266EE" w14:textId="4081FA4F" w:rsidR="00F4754B" w:rsidRPr="00B817D9" w:rsidRDefault="00F4754B" w:rsidP="000B66BC">
            <w:pPr>
              <w:pStyle w:val="BodyText1"/>
              <w:spacing w:after="240" w:line="240" w:lineRule="auto"/>
              <w:rPr>
                <w:rFonts w:ascii="Times New Roman" w:hAnsi="Times New Roman"/>
                <w:sz w:val="24"/>
                <w:szCs w:val="24"/>
              </w:rPr>
            </w:pPr>
            <w:r w:rsidRPr="00B817D9">
              <w:rPr>
                <w:rFonts w:ascii="Times New Roman" w:hAnsi="Times New Roman"/>
                <w:b/>
                <w:sz w:val="24"/>
              </w:rPr>
              <w:t>Ekspozycje wobec rządów centralnych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ban</w:t>
            </w:r>
            <w:r w:rsidRPr="00B817D9">
              <w:rPr>
                <w:rFonts w:ascii="Times New Roman" w:hAnsi="Times New Roman"/>
                <w:b/>
                <w:sz w:val="24"/>
              </w:rPr>
              <w:t>ków centralnych – wartość ekspozycji wskaźnika dźwigni – ekspozycje według metody standardowej</w:t>
            </w:r>
          </w:p>
          <w:p w14:paraId="6613A997" w14:textId="11BFA71E"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według metody standardowej stanowiących ekspozycje wobec rządów centralnych lub banków centralnych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114 rozporządzenia (UE) nr</w:t>
            </w:r>
            <w:r w:rsidR="00B817D9" w:rsidRPr="00B817D9">
              <w:rPr>
                <w:rFonts w:ascii="Times New Roman" w:hAnsi="Times New Roman"/>
                <w:sz w:val="24"/>
              </w:rPr>
              <w:t> </w:t>
            </w:r>
            <w:r w:rsidRPr="00B817D9">
              <w:rPr>
                <w:rFonts w:ascii="Times New Roman" w:hAnsi="Times New Roman"/>
                <w:sz w:val="24"/>
              </w:rPr>
              <w:t>575/2013.</w:t>
            </w:r>
          </w:p>
          <w:p w14:paraId="7F55138D" w14:textId="75576E6B"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0B4E6569" w14:textId="77777777" w:rsidTr="000B66BC">
        <w:trPr>
          <w:trHeight w:val="71"/>
        </w:trPr>
        <w:tc>
          <w:tcPr>
            <w:tcW w:w="1559" w:type="dxa"/>
            <w:shd w:val="clear" w:color="auto" w:fill="FFFFFF"/>
          </w:tcPr>
          <w:p w14:paraId="7D0291ED" w14:textId="3AD06088"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{0100;0020}</w:t>
            </w:r>
          </w:p>
        </w:tc>
        <w:tc>
          <w:tcPr>
            <w:tcW w:w="7406" w:type="dxa"/>
            <w:shd w:val="clear" w:color="auto" w:fill="FFFFFF"/>
          </w:tcPr>
          <w:p w14:paraId="66A53D96" w14:textId="172DD746" w:rsidR="00F4754B" w:rsidRPr="00B817D9" w:rsidRDefault="00F4754B" w:rsidP="000B66BC">
            <w:pPr>
              <w:pStyle w:val="BodyText1"/>
              <w:spacing w:after="240" w:line="240" w:lineRule="auto"/>
              <w:rPr>
                <w:rFonts w:ascii="Times New Roman" w:hAnsi="Times New Roman"/>
                <w:sz w:val="24"/>
                <w:szCs w:val="24"/>
              </w:rPr>
            </w:pPr>
            <w:r w:rsidRPr="00B817D9">
              <w:rPr>
                <w:rFonts w:ascii="Times New Roman" w:hAnsi="Times New Roman"/>
                <w:b/>
                <w:sz w:val="24"/>
              </w:rPr>
              <w:t>Ekspozycje wobec rządów centralnych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ban</w:t>
            </w:r>
            <w:r w:rsidRPr="00B817D9">
              <w:rPr>
                <w:rFonts w:ascii="Times New Roman" w:hAnsi="Times New Roman"/>
                <w:b/>
                <w:sz w:val="24"/>
              </w:rPr>
              <w:t>ków centralnych – wartość ekspozycji wskaźnika dźwigni – ekspozycje według metody IRB</w:t>
            </w:r>
          </w:p>
          <w:p w14:paraId="517FD145" w14:textId="100A22C0"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IRB wobec rządów centralnych lub banków centralnych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0885AD1A" w14:textId="0035770A" w:rsidR="002509B1" w:rsidRPr="00B817D9" w:rsidRDefault="009C4E79"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IRB, których dotyczy niewykonanie zobowiązania.</w:t>
            </w:r>
          </w:p>
        </w:tc>
      </w:tr>
      <w:tr w:rsidR="002A54FF" w:rsidRPr="00B817D9" w14:paraId="73380BA6" w14:textId="77777777" w:rsidTr="000B66BC">
        <w:trPr>
          <w:trHeight w:val="71"/>
        </w:trPr>
        <w:tc>
          <w:tcPr>
            <w:tcW w:w="1559" w:type="dxa"/>
            <w:shd w:val="clear" w:color="auto" w:fill="FFFFFF"/>
          </w:tcPr>
          <w:p w14:paraId="59953201" w14:textId="4A0778FE"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lastRenderedPageBreak/>
              <w:t>{0100;0030}</w:t>
            </w:r>
          </w:p>
        </w:tc>
        <w:tc>
          <w:tcPr>
            <w:tcW w:w="7406" w:type="dxa"/>
            <w:shd w:val="clear" w:color="auto" w:fill="FFFFFF"/>
          </w:tcPr>
          <w:p w14:paraId="26718359" w14:textId="456EE0C6" w:rsidR="002509B1" w:rsidRPr="00B817D9" w:rsidRDefault="00F4754B" w:rsidP="000B66BC">
            <w:pPr>
              <w:pStyle w:val="BodyText1"/>
              <w:spacing w:after="240" w:line="240" w:lineRule="auto"/>
              <w:rPr>
                <w:rFonts w:ascii="Times New Roman" w:hAnsi="Times New Roman"/>
                <w:sz w:val="24"/>
                <w:szCs w:val="24"/>
              </w:rPr>
            </w:pPr>
            <w:r w:rsidRPr="00B817D9">
              <w:rPr>
                <w:rFonts w:ascii="Times New Roman" w:hAnsi="Times New Roman"/>
                <w:b/>
                <w:sz w:val="24"/>
              </w:rPr>
              <w:t>Ekspozycje wobec rządów centralnych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ban</w:t>
            </w:r>
            <w:r w:rsidRPr="00B817D9">
              <w:rPr>
                <w:rFonts w:ascii="Times New Roman" w:hAnsi="Times New Roman"/>
                <w:b/>
                <w:sz w:val="24"/>
              </w:rPr>
              <w:t>ków centralnych – kwota ekspozycji ważonej ryzykiem – ekspozycje według metody standardowej</w:t>
            </w:r>
          </w:p>
          <w:p w14:paraId="1057171E" w14:textId="4C8F1201"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standardowej wobec rządów centralnych lub banków centralnych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114 rozporządzenia (UE) nr</w:t>
            </w:r>
            <w:r w:rsidR="00B817D9" w:rsidRPr="00B817D9">
              <w:rPr>
                <w:rFonts w:ascii="Times New Roman" w:hAnsi="Times New Roman"/>
                <w:sz w:val="24"/>
              </w:rPr>
              <w:t> </w:t>
            </w:r>
            <w:r w:rsidRPr="00B817D9">
              <w:rPr>
                <w:rFonts w:ascii="Times New Roman" w:hAnsi="Times New Roman"/>
                <w:sz w:val="24"/>
              </w:rPr>
              <w:t>575/2013.</w:t>
            </w:r>
          </w:p>
          <w:p w14:paraId="47506B7A" w14:textId="150E5BC3"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4C792316" w14:textId="77777777" w:rsidTr="000B66BC">
        <w:trPr>
          <w:trHeight w:val="71"/>
        </w:trPr>
        <w:tc>
          <w:tcPr>
            <w:tcW w:w="1559" w:type="dxa"/>
            <w:shd w:val="clear" w:color="auto" w:fill="FFFFFF"/>
          </w:tcPr>
          <w:p w14:paraId="4823C176" w14:textId="2320977D"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{0100;0040}</w:t>
            </w:r>
          </w:p>
        </w:tc>
        <w:tc>
          <w:tcPr>
            <w:tcW w:w="7406" w:type="dxa"/>
            <w:shd w:val="clear" w:color="auto" w:fill="FFFFFF"/>
          </w:tcPr>
          <w:p w14:paraId="1EC1A3E9" w14:textId="07AC3412" w:rsidR="00F4754B" w:rsidRPr="00B817D9" w:rsidRDefault="00F4754B" w:rsidP="000B66BC">
            <w:pPr>
              <w:pStyle w:val="BodyText1"/>
              <w:spacing w:after="240" w:line="240" w:lineRule="auto"/>
              <w:rPr>
                <w:rFonts w:ascii="Times New Roman" w:hAnsi="Times New Roman"/>
                <w:sz w:val="24"/>
                <w:szCs w:val="24"/>
              </w:rPr>
            </w:pPr>
            <w:r w:rsidRPr="00B817D9">
              <w:rPr>
                <w:rFonts w:ascii="Times New Roman" w:hAnsi="Times New Roman"/>
                <w:b/>
                <w:sz w:val="24"/>
              </w:rPr>
              <w:t>Ekspozycje wobec rządów centralnych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ban</w:t>
            </w:r>
            <w:r w:rsidRPr="00B817D9">
              <w:rPr>
                <w:rFonts w:ascii="Times New Roman" w:hAnsi="Times New Roman"/>
                <w:b/>
                <w:sz w:val="24"/>
              </w:rPr>
              <w:t>ków centralnych – kwota ekspozycji ważonej ryzykiem – ekspozycje według metody IRB</w:t>
            </w:r>
          </w:p>
          <w:p w14:paraId="47A75B9C" w14:textId="06B78ECB"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 wobec rządów centralnych lub banków centralnych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58C303E4" w14:textId="75B02A12"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7B8E2851" w14:textId="77777777" w:rsidTr="000B66BC">
        <w:trPr>
          <w:trHeight w:val="71"/>
        </w:trPr>
        <w:tc>
          <w:tcPr>
            <w:tcW w:w="1559" w:type="dxa"/>
            <w:shd w:val="clear" w:color="auto" w:fill="FFFFFF"/>
          </w:tcPr>
          <w:p w14:paraId="5E43D3FD" w14:textId="0F5E5E7C"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{0110;0010}</w:t>
            </w:r>
          </w:p>
        </w:tc>
        <w:tc>
          <w:tcPr>
            <w:tcW w:w="7406" w:type="dxa"/>
            <w:shd w:val="clear" w:color="auto" w:fill="FFFFFF"/>
          </w:tcPr>
          <w:p w14:paraId="0A9C6204" w14:textId="67D83F76"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wła</w:t>
            </w:r>
            <w:r w:rsidRPr="00B817D9">
              <w:rPr>
                <w:rFonts w:ascii="Times New Roman" w:hAnsi="Times New Roman"/>
                <w:b/>
                <w:sz w:val="24"/>
              </w:rPr>
              <w:t>dz lokalnych traktowane jako ekspozycje wobec państwa – wartość ekspozycji wskaźnika dźwigni – ekspozycje według metody standardowej</w:t>
            </w:r>
          </w:p>
          <w:p w14:paraId="5294E5EC" w14:textId="19912979"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 wobec samorządów regionalnych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wła</w:t>
            </w:r>
            <w:r w:rsidRPr="00B817D9">
              <w:rPr>
                <w:rFonts w:ascii="Times New Roman" w:hAnsi="Times New Roman"/>
                <w:sz w:val="24"/>
              </w:rPr>
              <w:t>dz lokalnych traktowane jako ekspozycje wobec państwa, objęte art.</w:t>
            </w:r>
            <w:r w:rsidR="00B817D9" w:rsidRPr="00B817D9">
              <w:rPr>
                <w:rFonts w:ascii="Times New Roman" w:hAnsi="Times New Roman"/>
                <w:sz w:val="24"/>
              </w:rPr>
              <w:t> </w:t>
            </w:r>
            <w:r w:rsidRPr="00B817D9">
              <w:rPr>
                <w:rFonts w:ascii="Times New Roman" w:hAnsi="Times New Roman"/>
                <w:sz w:val="24"/>
              </w:rPr>
              <w:t>115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4</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42456706" w14:textId="2E28EB95" w:rsidR="002509B1" w:rsidRPr="00B817D9" w:rsidRDefault="00086A8A" w:rsidP="000B66BC">
            <w:pPr>
              <w:pStyle w:val="BodyText1"/>
              <w:spacing w:after="240" w:line="240" w:lineRule="auto"/>
              <w:rPr>
                <w:rFonts w:ascii="Times New Roman" w:hAnsi="Times New Roman"/>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1964D3AE" w14:textId="77777777" w:rsidTr="000B66BC">
        <w:trPr>
          <w:trHeight w:val="71"/>
        </w:trPr>
        <w:tc>
          <w:tcPr>
            <w:tcW w:w="1559" w:type="dxa"/>
            <w:shd w:val="clear" w:color="auto" w:fill="FFFFFF"/>
          </w:tcPr>
          <w:p w14:paraId="17ADB526" w14:textId="2E034212"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{0110;0020}</w:t>
            </w:r>
          </w:p>
        </w:tc>
        <w:tc>
          <w:tcPr>
            <w:tcW w:w="7406" w:type="dxa"/>
            <w:shd w:val="clear" w:color="auto" w:fill="FFFFFF"/>
          </w:tcPr>
          <w:p w14:paraId="7E0B20E2" w14:textId="5D4DDC91"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wła</w:t>
            </w:r>
            <w:r w:rsidRPr="00B817D9">
              <w:rPr>
                <w:rFonts w:ascii="Times New Roman" w:hAnsi="Times New Roman"/>
                <w:b/>
                <w:sz w:val="24"/>
              </w:rPr>
              <w:t>dz lokalnych traktowane jako ekspozycje wobec państwa – wartość ekspozycji wskaźnika dźwigni – ekspozycje według metody IRB</w:t>
            </w:r>
          </w:p>
          <w:p w14:paraId="02346C27" w14:textId="5D705FA6" w:rsidR="002509B1"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Wartość ekspozycji wskaźnika dźwigni dla aktywów stanowiących ekspozycje według metody IRB wobec samorządów regionalnych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wła</w:t>
            </w:r>
            <w:r w:rsidRPr="00B817D9">
              <w:rPr>
                <w:rFonts w:ascii="Times New Roman" w:hAnsi="Times New Roman"/>
                <w:sz w:val="24"/>
              </w:rPr>
              <w:t>dz lokalnych,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3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3496D48C" w14:textId="78A55785" w:rsidR="009C4E79"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2038F08C" w14:textId="77777777" w:rsidTr="000B66BC">
        <w:trPr>
          <w:trHeight w:val="71"/>
        </w:trPr>
        <w:tc>
          <w:tcPr>
            <w:tcW w:w="1559" w:type="dxa"/>
            <w:shd w:val="clear" w:color="auto" w:fill="FFFFFF"/>
          </w:tcPr>
          <w:p w14:paraId="4C19855D" w14:textId="4D9B42F1"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{0110;0030}</w:t>
            </w:r>
          </w:p>
        </w:tc>
        <w:tc>
          <w:tcPr>
            <w:tcW w:w="7406" w:type="dxa"/>
            <w:shd w:val="clear" w:color="auto" w:fill="FFFFFF"/>
          </w:tcPr>
          <w:p w14:paraId="0A1E21BF" w14:textId="1F5D3E8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wła</w:t>
            </w:r>
            <w:r w:rsidRPr="00B817D9">
              <w:rPr>
                <w:rFonts w:ascii="Times New Roman" w:hAnsi="Times New Roman"/>
                <w:b/>
                <w:sz w:val="24"/>
              </w:rPr>
              <w:t>dz lokalnych traktowane jako ekspozycje wobec państwa – kwota ekspozycji ważonej ryzykiem – ekspozycje według metody standardowej</w:t>
            </w:r>
          </w:p>
          <w:p w14:paraId="38C283FD" w14:textId="39025663"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standardowej wobec samorządów regionalnych</w:t>
            </w:r>
            <w:r w:rsidR="00B817D9" w:rsidRPr="00B817D9">
              <w:rPr>
                <w:rFonts w:ascii="Times New Roman" w:hAnsi="Times New Roman"/>
                <w:sz w:val="24"/>
              </w:rPr>
              <w:t xml:space="preserve"> </w:t>
            </w:r>
            <w:r w:rsidR="00B817D9" w:rsidRPr="00B817D9">
              <w:rPr>
                <w:rFonts w:ascii="Times New Roman" w:hAnsi="Times New Roman"/>
                <w:sz w:val="24"/>
              </w:rPr>
              <w:lastRenderedPageBreak/>
              <w:t>i</w:t>
            </w:r>
            <w:r w:rsidR="00B817D9">
              <w:rPr>
                <w:rFonts w:ascii="Times New Roman" w:hAnsi="Times New Roman"/>
                <w:sz w:val="24"/>
              </w:rPr>
              <w:t> </w:t>
            </w:r>
            <w:r w:rsidR="00B817D9" w:rsidRPr="00B817D9">
              <w:rPr>
                <w:rFonts w:ascii="Times New Roman" w:hAnsi="Times New Roman"/>
                <w:sz w:val="24"/>
              </w:rPr>
              <w:t>wła</w:t>
            </w:r>
            <w:r w:rsidRPr="00B817D9">
              <w:rPr>
                <w:rFonts w:ascii="Times New Roman" w:hAnsi="Times New Roman"/>
                <w:sz w:val="24"/>
              </w:rPr>
              <w:t>dz lokalnych traktowane jako ekspozycje wobec państwa, objęte art.</w:t>
            </w:r>
            <w:r w:rsidR="00B817D9" w:rsidRPr="00B817D9">
              <w:rPr>
                <w:rFonts w:ascii="Times New Roman" w:hAnsi="Times New Roman"/>
                <w:sz w:val="24"/>
              </w:rPr>
              <w:t> </w:t>
            </w:r>
            <w:r w:rsidRPr="00B817D9">
              <w:rPr>
                <w:rFonts w:ascii="Times New Roman" w:hAnsi="Times New Roman"/>
                <w:sz w:val="24"/>
              </w:rPr>
              <w:t>115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4</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6D7AEF3D" w14:textId="0D5AC65C"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5BE41E62" w14:textId="77777777" w:rsidTr="000B66BC">
        <w:trPr>
          <w:trHeight w:val="71"/>
        </w:trPr>
        <w:tc>
          <w:tcPr>
            <w:tcW w:w="1559" w:type="dxa"/>
            <w:shd w:val="clear" w:color="auto" w:fill="FFFFFF"/>
          </w:tcPr>
          <w:p w14:paraId="4370E83A" w14:textId="1FE63232"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lastRenderedPageBreak/>
              <w:t>{0110;0040}</w:t>
            </w:r>
          </w:p>
        </w:tc>
        <w:tc>
          <w:tcPr>
            <w:tcW w:w="7406" w:type="dxa"/>
            <w:shd w:val="clear" w:color="auto" w:fill="FFFFFF"/>
          </w:tcPr>
          <w:p w14:paraId="0A1135F8" w14:textId="7EF91628"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wła</w:t>
            </w:r>
            <w:r w:rsidRPr="00B817D9">
              <w:rPr>
                <w:rFonts w:ascii="Times New Roman" w:hAnsi="Times New Roman"/>
                <w:b/>
                <w:sz w:val="24"/>
              </w:rPr>
              <w:t>dz lokalnych traktowane jako ekspozycje wobec państwa – kwota ekspozycji ważonej ryzykiem – ekspozycje według metody IRB</w:t>
            </w:r>
          </w:p>
          <w:p w14:paraId="099D799F" w14:textId="2A8C59C1"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 wobec samorządów regionalnych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wła</w:t>
            </w:r>
            <w:r w:rsidRPr="00B817D9">
              <w:rPr>
                <w:rFonts w:ascii="Times New Roman" w:hAnsi="Times New Roman"/>
                <w:sz w:val="24"/>
              </w:rPr>
              <w:t>dz lokalnych,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3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77DFB307" w14:textId="152C7BA5"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4E6380BD" w14:textId="77777777" w:rsidTr="000B66BC">
        <w:trPr>
          <w:trHeight w:val="71"/>
        </w:trPr>
        <w:tc>
          <w:tcPr>
            <w:tcW w:w="1559" w:type="dxa"/>
            <w:shd w:val="clear" w:color="auto" w:fill="FFFFFF"/>
          </w:tcPr>
          <w:p w14:paraId="596E85C5" w14:textId="5E9760D8"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{0120;0010}</w:t>
            </w:r>
          </w:p>
        </w:tc>
        <w:tc>
          <w:tcPr>
            <w:tcW w:w="7406" w:type="dxa"/>
            <w:shd w:val="clear" w:color="auto" w:fill="FFFFFF"/>
          </w:tcPr>
          <w:p w14:paraId="4E16BD03" w14:textId="3F098276" w:rsidR="002509B1"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wobec wielostronnych banków rozwoju</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org</w:t>
            </w:r>
            <w:r w:rsidRPr="00B817D9">
              <w:rPr>
                <w:rFonts w:ascii="Times New Roman" w:hAnsi="Times New Roman"/>
                <w:b/>
                <w:sz w:val="24"/>
              </w:rPr>
              <w:t>anizacji międzynarodowych traktowane jako ekspozycje wobec państwa – wartość ekspozycji wskaźnika dźwigni – ekspozycje według metody standardowej</w:t>
            </w:r>
          </w:p>
          <w:p w14:paraId="595E0D3B" w14:textId="6423EC02"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 wobec wielostronnych banków rozwoju</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org</w:t>
            </w:r>
            <w:r w:rsidRPr="00B817D9">
              <w:rPr>
                <w:rFonts w:ascii="Times New Roman" w:hAnsi="Times New Roman"/>
                <w:sz w:val="24"/>
              </w:rPr>
              <w:t>anizacji międzynarodowych, objęte art.</w:t>
            </w:r>
            <w:r w:rsidR="00B817D9" w:rsidRPr="00B817D9">
              <w:rPr>
                <w:rFonts w:ascii="Times New Roman" w:hAnsi="Times New Roman"/>
                <w:sz w:val="24"/>
              </w:rPr>
              <w:t> </w:t>
            </w:r>
            <w:r w:rsidRPr="00B817D9">
              <w:rPr>
                <w:rFonts w:ascii="Times New Roman" w:hAnsi="Times New Roman"/>
                <w:sz w:val="24"/>
              </w:rPr>
              <w:t>117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118 rozporządzenia (UE) nr</w:t>
            </w:r>
            <w:r w:rsidR="00B817D9" w:rsidRPr="00B817D9">
              <w:rPr>
                <w:rFonts w:ascii="Times New Roman" w:hAnsi="Times New Roman"/>
                <w:sz w:val="24"/>
              </w:rPr>
              <w:t> </w:t>
            </w:r>
            <w:r w:rsidRPr="00B817D9">
              <w:rPr>
                <w:rFonts w:ascii="Times New Roman" w:hAnsi="Times New Roman"/>
                <w:sz w:val="24"/>
              </w:rPr>
              <w:t>575/2013.</w:t>
            </w:r>
          </w:p>
          <w:p w14:paraId="4013B069" w14:textId="0EB1BFF4" w:rsidR="002509B1"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26302257" w14:textId="77777777" w:rsidTr="000B66BC">
        <w:trPr>
          <w:trHeight w:val="71"/>
        </w:trPr>
        <w:tc>
          <w:tcPr>
            <w:tcW w:w="1559" w:type="dxa"/>
            <w:shd w:val="clear" w:color="auto" w:fill="FFFFFF"/>
          </w:tcPr>
          <w:p w14:paraId="5A4EAF45" w14:textId="12E4FA77"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{0120;0020}</w:t>
            </w:r>
          </w:p>
        </w:tc>
        <w:tc>
          <w:tcPr>
            <w:tcW w:w="7406" w:type="dxa"/>
            <w:shd w:val="clear" w:color="auto" w:fill="FFFFFF"/>
          </w:tcPr>
          <w:p w14:paraId="76A1CB53" w14:textId="5BCC215E" w:rsidR="002509B1"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wobec wielostronnych banków rozwoju</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org</w:t>
            </w:r>
            <w:r w:rsidRPr="00B817D9">
              <w:rPr>
                <w:rFonts w:ascii="Times New Roman" w:hAnsi="Times New Roman"/>
                <w:b/>
                <w:sz w:val="24"/>
              </w:rPr>
              <w:t>anizacji międzynarodowych traktowane jako ekspozycje wobec państwa – wartość ekspozycji wskaźnika dźwigni – ekspozycje według metody IRB</w:t>
            </w:r>
          </w:p>
          <w:p w14:paraId="3802319A" w14:textId="2B77A943"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IRB wobec wielostronnych banków rozwoju</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org</w:t>
            </w:r>
            <w:r w:rsidRPr="00B817D9">
              <w:rPr>
                <w:rFonts w:ascii="Times New Roman" w:hAnsi="Times New Roman"/>
                <w:sz w:val="24"/>
              </w:rPr>
              <w:t>anizacji międzynarodowych,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3 lit.</w:t>
            </w:r>
            <w:r w:rsidR="00B817D9" w:rsidRPr="00B817D9">
              <w:rPr>
                <w:rFonts w:ascii="Times New Roman" w:hAnsi="Times New Roman"/>
                <w:sz w:val="24"/>
              </w:rPr>
              <w:t> </w:t>
            </w:r>
            <w:r w:rsidRPr="00B817D9">
              <w:rPr>
                <w:rFonts w:ascii="Times New Roman" w:hAnsi="Times New Roman"/>
                <w:sz w:val="24"/>
              </w:rPr>
              <w:t>b) i c) rozporządzenia (UE) nr</w:t>
            </w:r>
            <w:r w:rsidR="00B817D9" w:rsidRPr="00B817D9">
              <w:rPr>
                <w:rFonts w:ascii="Times New Roman" w:hAnsi="Times New Roman"/>
                <w:sz w:val="24"/>
              </w:rPr>
              <w:t> </w:t>
            </w:r>
            <w:r w:rsidRPr="00B817D9">
              <w:rPr>
                <w:rFonts w:ascii="Times New Roman" w:hAnsi="Times New Roman"/>
                <w:sz w:val="24"/>
              </w:rPr>
              <w:t>575/2013.</w:t>
            </w:r>
          </w:p>
          <w:p w14:paraId="4070105A" w14:textId="4FC040B2" w:rsidR="002509B1" w:rsidRPr="00B817D9" w:rsidRDefault="009C4E79"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IRB, których dotyczy niewykonanie zobowiązania.</w:t>
            </w:r>
          </w:p>
        </w:tc>
      </w:tr>
      <w:tr w:rsidR="002A54FF" w:rsidRPr="00B817D9" w14:paraId="3B2553E8" w14:textId="77777777" w:rsidTr="000B66BC">
        <w:trPr>
          <w:trHeight w:val="71"/>
        </w:trPr>
        <w:tc>
          <w:tcPr>
            <w:tcW w:w="1559" w:type="dxa"/>
            <w:shd w:val="clear" w:color="auto" w:fill="FFFFFF"/>
          </w:tcPr>
          <w:p w14:paraId="1FA22EB0" w14:textId="05DF8D97"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{0120;0030}</w:t>
            </w:r>
          </w:p>
        </w:tc>
        <w:tc>
          <w:tcPr>
            <w:tcW w:w="7406" w:type="dxa"/>
            <w:shd w:val="clear" w:color="auto" w:fill="FFFFFF"/>
          </w:tcPr>
          <w:p w14:paraId="297278EC" w14:textId="0D93CECF" w:rsidR="002509B1"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wobec wielostronnych banków rozwoju</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org</w:t>
            </w:r>
            <w:r w:rsidRPr="00B817D9">
              <w:rPr>
                <w:rFonts w:ascii="Times New Roman" w:hAnsi="Times New Roman"/>
                <w:b/>
                <w:sz w:val="24"/>
              </w:rPr>
              <w:t>anizacji międzynarodowych traktowane jako ekspozycje wobec państwa – kwota ekspozycji ważonej ryzykiem – ekspozycje według metody standardowej</w:t>
            </w:r>
          </w:p>
          <w:p w14:paraId="37FB9B14" w14:textId="4C4D3A6B"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 xml:space="preserve">Kwota ekspozycji ważonej ryzykiem dla aktywów </w:t>
            </w:r>
            <w:r w:rsidR="002965A8" w:rsidRPr="00B817D9">
              <w:rPr>
                <w:rFonts w:ascii="Times New Roman" w:hAnsi="Times New Roman"/>
                <w:sz w:val="24"/>
              </w:rPr>
              <w:t>w</w:t>
            </w:r>
            <w:r w:rsidRPr="00B817D9">
              <w:rPr>
                <w:rFonts w:ascii="Times New Roman" w:hAnsi="Times New Roman"/>
                <w:sz w:val="24"/>
              </w:rPr>
              <w:t xml:space="preserve">edług metody standardowej stanowiących ekspozycje wobec wielostronnych banków </w:t>
            </w:r>
            <w:r w:rsidRPr="00B817D9">
              <w:rPr>
                <w:rFonts w:ascii="Times New Roman" w:hAnsi="Times New Roman"/>
                <w:sz w:val="24"/>
              </w:rPr>
              <w:lastRenderedPageBreak/>
              <w:t>rozwoju</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org</w:t>
            </w:r>
            <w:r w:rsidRPr="00B817D9">
              <w:rPr>
                <w:rFonts w:ascii="Times New Roman" w:hAnsi="Times New Roman"/>
                <w:sz w:val="24"/>
              </w:rPr>
              <w:t>anizacji międzynarodowych, objęte art.</w:t>
            </w:r>
            <w:r w:rsidR="00B817D9" w:rsidRPr="00B817D9">
              <w:rPr>
                <w:rFonts w:ascii="Times New Roman" w:hAnsi="Times New Roman"/>
                <w:sz w:val="24"/>
              </w:rPr>
              <w:t> </w:t>
            </w:r>
            <w:r w:rsidRPr="00B817D9">
              <w:rPr>
                <w:rFonts w:ascii="Times New Roman" w:hAnsi="Times New Roman"/>
                <w:sz w:val="24"/>
              </w:rPr>
              <w:t>117 ust.</w:t>
            </w:r>
            <w:r w:rsidR="00B817D9" w:rsidRPr="00B817D9">
              <w:rPr>
                <w:rFonts w:ascii="Times New Roman" w:hAnsi="Times New Roman"/>
                <w:sz w:val="24"/>
              </w:rPr>
              <w:t> </w:t>
            </w:r>
            <w:r w:rsidRPr="00B817D9">
              <w:rPr>
                <w:rFonts w:ascii="Times New Roman" w:hAnsi="Times New Roman"/>
                <w:sz w:val="24"/>
              </w:rPr>
              <w:t>2</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118 rozporządzenia (UE) nr</w:t>
            </w:r>
            <w:r w:rsidR="00B817D9" w:rsidRPr="00B817D9">
              <w:rPr>
                <w:rFonts w:ascii="Times New Roman" w:hAnsi="Times New Roman"/>
                <w:sz w:val="24"/>
              </w:rPr>
              <w:t> </w:t>
            </w:r>
            <w:r w:rsidRPr="00B817D9">
              <w:rPr>
                <w:rFonts w:ascii="Times New Roman" w:hAnsi="Times New Roman"/>
                <w:sz w:val="24"/>
              </w:rPr>
              <w:t>575/2013.</w:t>
            </w:r>
          </w:p>
          <w:p w14:paraId="21D9C9F4" w14:textId="49EA3C70"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57DE532D" w14:textId="77777777" w:rsidTr="000B66BC">
        <w:trPr>
          <w:trHeight w:val="71"/>
        </w:trPr>
        <w:tc>
          <w:tcPr>
            <w:tcW w:w="1559" w:type="dxa"/>
            <w:shd w:val="clear" w:color="auto" w:fill="FFFFFF"/>
          </w:tcPr>
          <w:p w14:paraId="2210C2F3" w14:textId="0756556E"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lastRenderedPageBreak/>
              <w:t>{1020;0040}</w:t>
            </w:r>
          </w:p>
        </w:tc>
        <w:tc>
          <w:tcPr>
            <w:tcW w:w="7406" w:type="dxa"/>
            <w:shd w:val="clear" w:color="auto" w:fill="FFFFFF"/>
          </w:tcPr>
          <w:p w14:paraId="25AE3663" w14:textId="1FA8DB6F" w:rsidR="002509B1"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wobec wielostronnych banków rozwoju</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org</w:t>
            </w:r>
            <w:r w:rsidRPr="00B817D9">
              <w:rPr>
                <w:rFonts w:ascii="Times New Roman" w:hAnsi="Times New Roman"/>
                <w:b/>
                <w:sz w:val="24"/>
              </w:rPr>
              <w:t>anizacji międzynarodowych traktowane jako ekspozycje wobec państwa – kwota ekspozycji ważonej ryzykiem – ekspozycje według metody IRB</w:t>
            </w:r>
          </w:p>
          <w:p w14:paraId="0A7C504F" w14:textId="7FFE953A"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 wobec wielostronnych banków rozwoju</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org</w:t>
            </w:r>
            <w:r w:rsidRPr="00B817D9">
              <w:rPr>
                <w:rFonts w:ascii="Times New Roman" w:hAnsi="Times New Roman"/>
                <w:sz w:val="24"/>
              </w:rPr>
              <w:t>anizacji międzynarodowych,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3 lit.</w:t>
            </w:r>
            <w:r w:rsidR="00B817D9" w:rsidRPr="00B817D9">
              <w:rPr>
                <w:rFonts w:ascii="Times New Roman" w:hAnsi="Times New Roman"/>
                <w:sz w:val="24"/>
              </w:rPr>
              <w:t> </w:t>
            </w:r>
            <w:r w:rsidRPr="00B817D9">
              <w:rPr>
                <w:rFonts w:ascii="Times New Roman" w:hAnsi="Times New Roman"/>
                <w:sz w:val="24"/>
              </w:rPr>
              <w:t>b) i c) rozporządzenia (UE) nr</w:t>
            </w:r>
            <w:r w:rsidR="00B817D9" w:rsidRPr="00B817D9">
              <w:rPr>
                <w:rFonts w:ascii="Times New Roman" w:hAnsi="Times New Roman"/>
                <w:sz w:val="24"/>
              </w:rPr>
              <w:t> </w:t>
            </w:r>
            <w:r w:rsidRPr="00B817D9">
              <w:rPr>
                <w:rFonts w:ascii="Times New Roman" w:hAnsi="Times New Roman"/>
                <w:sz w:val="24"/>
              </w:rPr>
              <w:t>575/2013.</w:t>
            </w:r>
          </w:p>
          <w:p w14:paraId="4B60B3CB" w14:textId="76329F3C" w:rsidR="002509B1" w:rsidRPr="00B817D9" w:rsidRDefault="009C4E79"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nie zgłaszają tu ekspozycji według metody IRB, których dotyczy niewykonanie zobowiązania.</w:t>
            </w:r>
          </w:p>
        </w:tc>
      </w:tr>
      <w:tr w:rsidR="002A54FF" w:rsidRPr="00B817D9" w14:paraId="231E48A1" w14:textId="77777777" w:rsidTr="000B66BC">
        <w:trPr>
          <w:trHeight w:val="71"/>
        </w:trPr>
        <w:tc>
          <w:tcPr>
            <w:tcW w:w="1559" w:type="dxa"/>
            <w:shd w:val="clear" w:color="auto" w:fill="FFFFFF"/>
          </w:tcPr>
          <w:p w14:paraId="0729DCCA" w14:textId="1813ABC3"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{0130;0010}</w:t>
            </w:r>
          </w:p>
        </w:tc>
        <w:tc>
          <w:tcPr>
            <w:tcW w:w="7406" w:type="dxa"/>
            <w:shd w:val="clear" w:color="auto" w:fill="FFFFFF"/>
          </w:tcPr>
          <w:p w14:paraId="03377C61" w14:textId="0F13B636" w:rsidR="002509B1"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wobec podmiotów sektora publicznego traktowane jako ekspozycje wobec państwa – wartość ekspozycji wskaźnika dźwigni – ekspozycje według metody standardowej</w:t>
            </w:r>
          </w:p>
          <w:p w14:paraId="7D8203A3" w14:textId="22FFC960"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 wobec podmiotów sektora publicznego, objęte art.</w:t>
            </w:r>
            <w:r w:rsidR="00B817D9" w:rsidRPr="00B817D9">
              <w:rPr>
                <w:rFonts w:ascii="Times New Roman" w:hAnsi="Times New Roman"/>
                <w:sz w:val="24"/>
              </w:rPr>
              <w:t> </w:t>
            </w:r>
            <w:r w:rsidRPr="00B817D9">
              <w:rPr>
                <w:rFonts w:ascii="Times New Roman" w:hAnsi="Times New Roman"/>
                <w:sz w:val="24"/>
              </w:rPr>
              <w:t>116 ust.</w:t>
            </w:r>
            <w:r w:rsidR="00B817D9" w:rsidRPr="00B817D9">
              <w:rPr>
                <w:rFonts w:ascii="Times New Roman" w:hAnsi="Times New Roman"/>
                <w:sz w:val="24"/>
              </w:rPr>
              <w:t> </w:t>
            </w:r>
            <w:r w:rsidRPr="00B817D9">
              <w:rPr>
                <w:rFonts w:ascii="Times New Roman" w:hAnsi="Times New Roman"/>
                <w:sz w:val="24"/>
              </w:rPr>
              <w:t>4 rozporządzenia (UE) nr</w:t>
            </w:r>
            <w:r w:rsidR="00B817D9" w:rsidRPr="00B817D9">
              <w:rPr>
                <w:rFonts w:ascii="Times New Roman" w:hAnsi="Times New Roman"/>
                <w:sz w:val="24"/>
              </w:rPr>
              <w:t> </w:t>
            </w:r>
            <w:r w:rsidRPr="00B817D9">
              <w:rPr>
                <w:rFonts w:ascii="Times New Roman" w:hAnsi="Times New Roman"/>
                <w:sz w:val="24"/>
              </w:rPr>
              <w:t>575/2013.</w:t>
            </w:r>
          </w:p>
          <w:p w14:paraId="4AA47B62" w14:textId="393B657D" w:rsidR="002509B1" w:rsidRPr="00B817D9" w:rsidRDefault="00086A8A"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3CE3539B" w14:textId="77777777" w:rsidTr="000B66BC">
        <w:trPr>
          <w:trHeight w:val="71"/>
        </w:trPr>
        <w:tc>
          <w:tcPr>
            <w:tcW w:w="1559" w:type="dxa"/>
            <w:shd w:val="clear" w:color="auto" w:fill="FFFFFF"/>
          </w:tcPr>
          <w:p w14:paraId="5BD4FCC9" w14:textId="4A185F04"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{0130;0020}</w:t>
            </w:r>
          </w:p>
        </w:tc>
        <w:tc>
          <w:tcPr>
            <w:tcW w:w="7406" w:type="dxa"/>
            <w:shd w:val="clear" w:color="auto" w:fill="FFFFFF"/>
          </w:tcPr>
          <w:p w14:paraId="3B63499B" w14:textId="36B14D4C" w:rsidR="002509B1"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wobec podmiotów sektora publicznego traktowane jako ekspozycje wobec państwa – wartość ekspozycji wskaźnika dźwigni – ekspozycje według metody IRB</w:t>
            </w:r>
          </w:p>
          <w:p w14:paraId="6B0B91A7" w14:textId="6F7036B9" w:rsidR="002509B1"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wskaźnika dźwigni dla aktywów stanowiących ekspozycje według metody IRB wobec podmiotów sektora publicznego,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3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359554CF" w14:textId="52EF4F24" w:rsidR="009C4E79" w:rsidRPr="00B817D9" w:rsidRDefault="009C4E79"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IRB, których dotyczy niewykonanie zobowiązania.</w:t>
            </w:r>
          </w:p>
        </w:tc>
      </w:tr>
      <w:tr w:rsidR="002A54FF" w:rsidRPr="00B817D9" w14:paraId="66BBD644" w14:textId="77777777" w:rsidTr="000B66BC">
        <w:trPr>
          <w:trHeight w:val="71"/>
        </w:trPr>
        <w:tc>
          <w:tcPr>
            <w:tcW w:w="1559" w:type="dxa"/>
            <w:shd w:val="clear" w:color="auto" w:fill="FFFFFF"/>
          </w:tcPr>
          <w:p w14:paraId="780B22F1" w14:textId="38F11373"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{0130;0030}</w:t>
            </w:r>
          </w:p>
        </w:tc>
        <w:tc>
          <w:tcPr>
            <w:tcW w:w="7406" w:type="dxa"/>
            <w:shd w:val="clear" w:color="auto" w:fill="FFFFFF"/>
          </w:tcPr>
          <w:p w14:paraId="1DD3711A" w14:textId="41BC0A58" w:rsidR="002509B1"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wobec podmiotów sektora publicznego traktowane jako ekspozycje wobec państwa – kwota ekspozycji ważonej ryzykiem – ekspozycje według metody standardowej</w:t>
            </w:r>
          </w:p>
          <w:p w14:paraId="53A6C1B8" w14:textId="280F86F5"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standardowej wobec podmiotów sektora publicznego, objęte art.</w:t>
            </w:r>
            <w:r w:rsidR="00B817D9" w:rsidRPr="00B817D9">
              <w:rPr>
                <w:rFonts w:ascii="Times New Roman" w:hAnsi="Times New Roman"/>
                <w:sz w:val="24"/>
              </w:rPr>
              <w:t> </w:t>
            </w:r>
            <w:r w:rsidRPr="00B817D9">
              <w:rPr>
                <w:rFonts w:ascii="Times New Roman" w:hAnsi="Times New Roman"/>
                <w:sz w:val="24"/>
              </w:rPr>
              <w:t>116 ust.</w:t>
            </w:r>
            <w:r w:rsidR="00B817D9" w:rsidRPr="00B817D9">
              <w:rPr>
                <w:rFonts w:ascii="Times New Roman" w:hAnsi="Times New Roman"/>
                <w:sz w:val="24"/>
              </w:rPr>
              <w:t> </w:t>
            </w:r>
            <w:r w:rsidRPr="00B817D9">
              <w:rPr>
                <w:rFonts w:ascii="Times New Roman" w:hAnsi="Times New Roman"/>
                <w:sz w:val="24"/>
              </w:rPr>
              <w:t>4 rozporządzenia (UE) nr</w:t>
            </w:r>
            <w:r w:rsidR="00B817D9" w:rsidRPr="00B817D9">
              <w:rPr>
                <w:rFonts w:ascii="Times New Roman" w:hAnsi="Times New Roman"/>
                <w:sz w:val="24"/>
              </w:rPr>
              <w:t> </w:t>
            </w:r>
            <w:r w:rsidRPr="00B817D9">
              <w:rPr>
                <w:rFonts w:ascii="Times New Roman" w:hAnsi="Times New Roman"/>
                <w:sz w:val="24"/>
              </w:rPr>
              <w:t>575/2013.</w:t>
            </w:r>
          </w:p>
          <w:p w14:paraId="432B1470" w14:textId="36FFD5BE"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6BE8DD32" w14:textId="77777777" w:rsidTr="000B66BC">
        <w:trPr>
          <w:trHeight w:val="71"/>
        </w:trPr>
        <w:tc>
          <w:tcPr>
            <w:tcW w:w="1559" w:type="dxa"/>
            <w:shd w:val="clear" w:color="auto" w:fill="FFFFFF"/>
          </w:tcPr>
          <w:p w14:paraId="4F17D6C7" w14:textId="60A1BB8E"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{0130;0040}</w:t>
            </w:r>
          </w:p>
        </w:tc>
        <w:tc>
          <w:tcPr>
            <w:tcW w:w="7406" w:type="dxa"/>
            <w:shd w:val="clear" w:color="auto" w:fill="FFFFFF"/>
          </w:tcPr>
          <w:p w14:paraId="60977598" w14:textId="37A519F1" w:rsidR="00F4754B"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wobec podmiotów sektora publicznego traktowane jako ekspozycje wobec państwa – kwota ekspozycji ważonej ryzykiem – ekspozycje według metody IRB</w:t>
            </w:r>
          </w:p>
          <w:p w14:paraId="0EAECD4A" w14:textId="512676DF"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 wobec podmiotów sektora publicznego,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3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05B42B2C" w14:textId="7B404A8B"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35BDD4D3" w14:textId="77777777" w:rsidTr="000B66BC">
        <w:trPr>
          <w:trHeight w:val="71"/>
        </w:trPr>
        <w:tc>
          <w:tcPr>
            <w:tcW w:w="1559" w:type="dxa"/>
            <w:shd w:val="clear" w:color="auto" w:fill="FFFFFF"/>
          </w:tcPr>
          <w:p w14:paraId="5F7AB96E" w14:textId="4B2E7074"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{0140;0010}</w:t>
            </w:r>
          </w:p>
        </w:tc>
        <w:tc>
          <w:tcPr>
            <w:tcW w:w="7406" w:type="dxa"/>
            <w:shd w:val="clear" w:color="auto" w:fill="FFFFFF"/>
          </w:tcPr>
          <w:p w14:paraId="68676BE2" w14:textId="45D573E0"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 wielostronnych banków rozwoju, organizacji międzynarodowych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pod</w:t>
            </w:r>
            <w:r w:rsidRPr="00B817D9">
              <w:rPr>
                <w:rFonts w:ascii="Times New Roman" w:hAnsi="Times New Roman"/>
                <w:b/>
                <w:sz w:val="24"/>
              </w:rPr>
              <w:t>miotów sektora publicznego, których nie traktuje się jako ekspozycji wobec państwa – wartość ekspozycji wskaźnika dźwigni – ekspozycje według metody standardowej</w:t>
            </w:r>
          </w:p>
          <w:p w14:paraId="16F7D104" w14:textId="442558D1"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od {0150;0010} do {0170;0010}.</w:t>
            </w:r>
          </w:p>
          <w:p w14:paraId="56668309" w14:textId="21D6A0F4"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2401556C" w14:textId="77777777" w:rsidTr="000B66BC">
        <w:trPr>
          <w:trHeight w:val="71"/>
        </w:trPr>
        <w:tc>
          <w:tcPr>
            <w:tcW w:w="1559" w:type="dxa"/>
            <w:shd w:val="clear" w:color="auto" w:fill="FFFFFF"/>
          </w:tcPr>
          <w:p w14:paraId="4E9A7359" w14:textId="71A72E64"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{0140;0020}</w:t>
            </w:r>
          </w:p>
        </w:tc>
        <w:tc>
          <w:tcPr>
            <w:tcW w:w="7406" w:type="dxa"/>
            <w:shd w:val="clear" w:color="auto" w:fill="FFFFFF"/>
          </w:tcPr>
          <w:p w14:paraId="16480F3A" w14:textId="3A66363E"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 wielostronnych banków rozwoju, organizacji międzynarodowych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pod</w:t>
            </w:r>
            <w:r w:rsidRPr="00B817D9">
              <w:rPr>
                <w:rFonts w:ascii="Times New Roman" w:hAnsi="Times New Roman"/>
                <w:b/>
                <w:sz w:val="24"/>
              </w:rPr>
              <w:t>miotów sektora publicznego, których nie traktuje się jako ekspozycji wobec państwa – wartość ekspozycji wskaźnika dźwigni – ekspozycje według metody IRB</w:t>
            </w:r>
          </w:p>
          <w:p w14:paraId="01EFE154" w14:textId="37156240"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od {0150;0020} do {0170;0020}.</w:t>
            </w:r>
          </w:p>
          <w:p w14:paraId="4BA214B6" w14:textId="386C4F7E"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32DCABED" w14:textId="77777777" w:rsidTr="000B66BC">
        <w:trPr>
          <w:trHeight w:val="71"/>
        </w:trPr>
        <w:tc>
          <w:tcPr>
            <w:tcW w:w="1559" w:type="dxa"/>
            <w:shd w:val="clear" w:color="auto" w:fill="FFFFFF"/>
          </w:tcPr>
          <w:p w14:paraId="6236D8C3" w14:textId="2D8D1C93"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{0140;0030}</w:t>
            </w:r>
          </w:p>
        </w:tc>
        <w:tc>
          <w:tcPr>
            <w:tcW w:w="7406" w:type="dxa"/>
            <w:shd w:val="clear" w:color="auto" w:fill="FFFFFF"/>
          </w:tcPr>
          <w:p w14:paraId="6D26AA72" w14:textId="39405B1D"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 wielostronnych banków rozwoju, organizacji międzynarodowych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pod</w:t>
            </w:r>
            <w:r w:rsidRPr="00B817D9">
              <w:rPr>
                <w:rFonts w:ascii="Times New Roman" w:hAnsi="Times New Roman"/>
                <w:b/>
                <w:sz w:val="24"/>
              </w:rPr>
              <w:t>miotów sektora publicznego, których nie traktuje się jako ekspozycji wobec państwa – kwota ekspozycji ważonej ryzykiem – ekspozycje według metody standardowej</w:t>
            </w:r>
          </w:p>
          <w:p w14:paraId="001A76CB" w14:textId="449CD518"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od {0150;0030} do {0170;0030}.</w:t>
            </w:r>
          </w:p>
          <w:p w14:paraId="0666DA98" w14:textId="42DCAEA8"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19788CFC" w14:textId="77777777" w:rsidTr="000B66BC">
        <w:trPr>
          <w:trHeight w:val="71"/>
        </w:trPr>
        <w:tc>
          <w:tcPr>
            <w:tcW w:w="1559" w:type="dxa"/>
            <w:shd w:val="clear" w:color="auto" w:fill="FFFFFF"/>
          </w:tcPr>
          <w:p w14:paraId="56BC83A9" w14:textId="067E360C"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{0140;0040}</w:t>
            </w:r>
          </w:p>
        </w:tc>
        <w:tc>
          <w:tcPr>
            <w:tcW w:w="7406" w:type="dxa"/>
            <w:shd w:val="clear" w:color="auto" w:fill="FFFFFF"/>
          </w:tcPr>
          <w:p w14:paraId="28502CF8" w14:textId="67669F67"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 wielostronnych banków rozwoju, organizacji międzynarodowych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pod</w:t>
            </w:r>
            <w:r w:rsidRPr="00B817D9">
              <w:rPr>
                <w:rFonts w:ascii="Times New Roman" w:hAnsi="Times New Roman"/>
                <w:b/>
                <w:sz w:val="24"/>
              </w:rPr>
              <w:t>miotów sektora publicznego, których nie traktuje się jako ekspozycji wobec państwa – kwota ekspozycji ważonej ryzykiem – ekspozycje według metody IRB</w:t>
            </w:r>
          </w:p>
          <w:p w14:paraId="26D9E4F6" w14:textId="3F28B51E"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od {0150;0040} do {0170;0040}.</w:t>
            </w:r>
          </w:p>
          <w:p w14:paraId="6B0E2A45" w14:textId="73754F98" w:rsidR="002509B1" w:rsidRPr="00B817D9" w:rsidRDefault="009C4E79"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Instytucje nie zgłaszają tu ekspozycji według metody IRB, których dotyczy niewykonanie zobowiązania.</w:t>
            </w:r>
          </w:p>
        </w:tc>
      </w:tr>
      <w:tr w:rsidR="002A54FF" w:rsidRPr="00B817D9" w14:paraId="7FF2685B" w14:textId="77777777" w:rsidTr="000B66BC">
        <w:trPr>
          <w:trHeight w:val="71"/>
        </w:trPr>
        <w:tc>
          <w:tcPr>
            <w:tcW w:w="1559" w:type="dxa"/>
            <w:shd w:val="clear" w:color="auto" w:fill="FFFFFF"/>
          </w:tcPr>
          <w:p w14:paraId="40C55306" w14:textId="22F05799"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{0150;0010}</w:t>
            </w:r>
          </w:p>
        </w:tc>
        <w:tc>
          <w:tcPr>
            <w:tcW w:w="7406" w:type="dxa"/>
            <w:shd w:val="clear" w:color="auto" w:fill="FFFFFF"/>
          </w:tcPr>
          <w:p w14:paraId="6E882A95" w14:textId="4594EEAE"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wła</w:t>
            </w:r>
            <w:r w:rsidRPr="00B817D9">
              <w:rPr>
                <w:rFonts w:ascii="Times New Roman" w:hAnsi="Times New Roman"/>
                <w:b/>
                <w:sz w:val="24"/>
              </w:rPr>
              <w:t>dz lokalnych, których nie traktuje się jako ekspozycji wobec państwa – wartość ekspozycji wskaźnika dźwigni – ekspozycje według metody standardowej</w:t>
            </w:r>
          </w:p>
          <w:p w14:paraId="5997608A" w14:textId="00255EA2"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 wobec samorządów regionalnych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wła</w:t>
            </w:r>
            <w:r w:rsidRPr="00B817D9">
              <w:rPr>
                <w:rFonts w:ascii="Times New Roman" w:hAnsi="Times New Roman"/>
                <w:sz w:val="24"/>
              </w:rPr>
              <w:t>dz lokalnych, których nie traktuje się jako ekspozycji wobec państwa, objęte art.</w:t>
            </w:r>
            <w:r w:rsidR="00B817D9" w:rsidRPr="00B817D9">
              <w:rPr>
                <w:rFonts w:ascii="Times New Roman" w:hAnsi="Times New Roman"/>
                <w:sz w:val="24"/>
              </w:rPr>
              <w:t> </w:t>
            </w:r>
            <w:r w:rsidRPr="00B817D9">
              <w:rPr>
                <w:rFonts w:ascii="Times New Roman" w:hAnsi="Times New Roman"/>
                <w:sz w:val="24"/>
              </w:rPr>
              <w:t>115 ust.</w:t>
            </w:r>
            <w:r w:rsidR="00B817D9" w:rsidRPr="00B817D9">
              <w:rPr>
                <w:rFonts w:ascii="Times New Roman" w:hAnsi="Times New Roman"/>
                <w:sz w:val="24"/>
              </w:rPr>
              <w:t> </w:t>
            </w:r>
            <w:r w:rsidRPr="00B817D9">
              <w:rPr>
                <w:rFonts w:ascii="Times New Roman" w:hAnsi="Times New Roman"/>
                <w:sz w:val="24"/>
              </w:rPr>
              <w:t>1, 3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5</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2E409DCC" w14:textId="6CDA3B78" w:rsidR="002509B1"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1422BA43" w14:textId="77777777" w:rsidTr="000B66BC">
        <w:trPr>
          <w:trHeight w:val="71"/>
        </w:trPr>
        <w:tc>
          <w:tcPr>
            <w:tcW w:w="1559" w:type="dxa"/>
            <w:shd w:val="clear" w:color="auto" w:fill="FFFFFF"/>
          </w:tcPr>
          <w:p w14:paraId="119A75AE" w14:textId="3BC5962F"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{0150;0020}</w:t>
            </w:r>
          </w:p>
        </w:tc>
        <w:tc>
          <w:tcPr>
            <w:tcW w:w="7406" w:type="dxa"/>
            <w:shd w:val="clear" w:color="auto" w:fill="FFFFFF"/>
          </w:tcPr>
          <w:p w14:paraId="6DA1492F" w14:textId="21E96EB9"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wła</w:t>
            </w:r>
            <w:r w:rsidRPr="00B817D9">
              <w:rPr>
                <w:rFonts w:ascii="Times New Roman" w:hAnsi="Times New Roman"/>
                <w:b/>
                <w:sz w:val="24"/>
              </w:rPr>
              <w:t>dz lokalnych, których nie traktuje się jako ekspozycji wobec państwa – wartość ekspozycji wskaźnika dźwigni – ekspozycje według metody IRB</w:t>
            </w:r>
          </w:p>
          <w:p w14:paraId="05330C07" w14:textId="460D2EA2" w:rsidR="002509B1"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IRB wobec samorządów regionalnych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wła</w:t>
            </w:r>
            <w:r w:rsidRPr="00B817D9">
              <w:rPr>
                <w:rFonts w:ascii="Times New Roman" w:hAnsi="Times New Roman"/>
                <w:sz w:val="24"/>
              </w:rPr>
              <w:t>dz lokalnych, których nie traktuje się jako ekspozycji wobec państwa,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64866D79" w14:textId="278A91F6" w:rsidR="00F4754B" w:rsidRPr="00B817D9" w:rsidDel="00F559E6"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 xml:space="preserve">Instytucje nie zgłaszają tu ekspozycji według metody IRB, których dotyczy niewykonanie zobowiązania. </w:t>
            </w:r>
          </w:p>
        </w:tc>
      </w:tr>
      <w:tr w:rsidR="002A54FF" w:rsidRPr="00B817D9" w14:paraId="49B34BA3" w14:textId="77777777" w:rsidTr="000B66BC">
        <w:trPr>
          <w:trHeight w:val="71"/>
        </w:trPr>
        <w:tc>
          <w:tcPr>
            <w:tcW w:w="1559" w:type="dxa"/>
            <w:shd w:val="clear" w:color="auto" w:fill="FFFFFF"/>
          </w:tcPr>
          <w:p w14:paraId="1350671F" w14:textId="6CF3F1D2"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{0150;0030}</w:t>
            </w:r>
          </w:p>
        </w:tc>
        <w:tc>
          <w:tcPr>
            <w:tcW w:w="7406" w:type="dxa"/>
            <w:shd w:val="clear" w:color="auto" w:fill="FFFFFF"/>
          </w:tcPr>
          <w:p w14:paraId="0E90CE61" w14:textId="24A09CFF"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wła</w:t>
            </w:r>
            <w:r w:rsidRPr="00B817D9">
              <w:rPr>
                <w:rFonts w:ascii="Times New Roman" w:hAnsi="Times New Roman"/>
                <w:b/>
                <w:sz w:val="24"/>
              </w:rPr>
              <w:t xml:space="preserve">dz lokalnych, których nie traktuje się jako ekspozycji wobec państwa – kwota ekspozycji ważonej ryzykiem – ekspozycje według metody standardowej </w:t>
            </w:r>
          </w:p>
          <w:p w14:paraId="0C1281BF" w14:textId="3C0F4E75"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standardowej wobec samorządów regionalnych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wła</w:t>
            </w:r>
            <w:r w:rsidRPr="00B817D9">
              <w:rPr>
                <w:rFonts w:ascii="Times New Roman" w:hAnsi="Times New Roman"/>
                <w:sz w:val="24"/>
              </w:rPr>
              <w:t>dz lokalnych, których nie traktuje się jako ekspozycji wobec państwa, objęte art.</w:t>
            </w:r>
            <w:r w:rsidR="00B817D9" w:rsidRPr="00B817D9">
              <w:rPr>
                <w:rFonts w:ascii="Times New Roman" w:hAnsi="Times New Roman"/>
                <w:sz w:val="24"/>
              </w:rPr>
              <w:t> </w:t>
            </w:r>
            <w:r w:rsidRPr="00B817D9">
              <w:rPr>
                <w:rFonts w:ascii="Times New Roman" w:hAnsi="Times New Roman"/>
                <w:sz w:val="24"/>
              </w:rPr>
              <w:t>115 ust.</w:t>
            </w:r>
            <w:r w:rsidR="00B817D9" w:rsidRPr="00B817D9">
              <w:rPr>
                <w:rFonts w:ascii="Times New Roman" w:hAnsi="Times New Roman"/>
                <w:sz w:val="24"/>
              </w:rPr>
              <w:t> </w:t>
            </w:r>
            <w:r w:rsidRPr="00B817D9">
              <w:rPr>
                <w:rFonts w:ascii="Times New Roman" w:hAnsi="Times New Roman"/>
                <w:sz w:val="24"/>
              </w:rPr>
              <w:t>1, 3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5</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594F13B1" w14:textId="615E6282"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218100D8" w14:textId="77777777" w:rsidTr="000B66BC">
        <w:trPr>
          <w:trHeight w:val="71"/>
        </w:trPr>
        <w:tc>
          <w:tcPr>
            <w:tcW w:w="1559" w:type="dxa"/>
            <w:shd w:val="clear" w:color="auto" w:fill="FFFFFF"/>
          </w:tcPr>
          <w:p w14:paraId="7E6979FD" w14:textId="4EA4998C"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{0150;0040}</w:t>
            </w:r>
          </w:p>
        </w:tc>
        <w:tc>
          <w:tcPr>
            <w:tcW w:w="7406" w:type="dxa"/>
            <w:shd w:val="clear" w:color="auto" w:fill="FFFFFF"/>
          </w:tcPr>
          <w:p w14:paraId="2F79CD95" w14:textId="06C1D7DB"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samorządów regionalnych</w:t>
            </w:r>
            <w:r w:rsidR="00B817D9" w:rsidRPr="00B817D9">
              <w:rPr>
                <w:rFonts w:ascii="Times New Roman" w:hAnsi="Times New Roman"/>
                <w:b/>
                <w:sz w:val="24"/>
              </w:rPr>
              <w:t xml:space="preserve"> i</w:t>
            </w:r>
            <w:r w:rsidR="00B817D9">
              <w:rPr>
                <w:rFonts w:ascii="Times New Roman" w:hAnsi="Times New Roman"/>
                <w:b/>
                <w:sz w:val="24"/>
              </w:rPr>
              <w:t> </w:t>
            </w:r>
            <w:r w:rsidR="00B817D9" w:rsidRPr="00B817D9">
              <w:rPr>
                <w:rFonts w:ascii="Times New Roman" w:hAnsi="Times New Roman"/>
                <w:b/>
                <w:sz w:val="24"/>
              </w:rPr>
              <w:t>wła</w:t>
            </w:r>
            <w:r w:rsidRPr="00B817D9">
              <w:rPr>
                <w:rFonts w:ascii="Times New Roman" w:hAnsi="Times New Roman"/>
                <w:b/>
                <w:sz w:val="24"/>
              </w:rPr>
              <w:t>dz lokalnych, których nie traktuje się jako ekspozycji wobec państwa – kwota ekspozycji ważonej ryzykiem – ekspozycje według metody IRB</w:t>
            </w:r>
          </w:p>
          <w:p w14:paraId="51863919" w14:textId="165F6256"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 wobec samorządów regionalnych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wła</w:t>
            </w:r>
            <w:r w:rsidRPr="00B817D9">
              <w:rPr>
                <w:rFonts w:ascii="Times New Roman" w:hAnsi="Times New Roman"/>
                <w:sz w:val="24"/>
              </w:rPr>
              <w:t>dz lokalnych, których nie traktuje się jako ekspozycji wobec państwa,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2CE67E1E" w14:textId="02F8044F"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lastRenderedPageBreak/>
              <w:t>Instytucje nie zgłaszają tu ekspozycji według metody IRB, których dotyczy niewykonanie zobowiązania.</w:t>
            </w:r>
          </w:p>
        </w:tc>
      </w:tr>
      <w:tr w:rsidR="002A54FF" w:rsidRPr="00B817D9" w14:paraId="237E8E2D" w14:textId="77777777" w:rsidTr="000B66BC">
        <w:trPr>
          <w:trHeight w:val="71"/>
        </w:trPr>
        <w:tc>
          <w:tcPr>
            <w:tcW w:w="1559" w:type="dxa"/>
            <w:shd w:val="clear" w:color="auto" w:fill="FFFFFF"/>
          </w:tcPr>
          <w:p w14:paraId="6D0A1DEE" w14:textId="580C324A"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{0160;0010}</w:t>
            </w:r>
          </w:p>
        </w:tc>
        <w:tc>
          <w:tcPr>
            <w:tcW w:w="7406" w:type="dxa"/>
            <w:shd w:val="clear" w:color="auto" w:fill="FFFFFF"/>
          </w:tcPr>
          <w:p w14:paraId="382B2DE5"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 xml:space="preserve">Ekspozycje wobec wielostronnych banków rozwoju, których </w:t>
            </w:r>
            <w:r w:rsidRPr="00B817D9">
              <w:rPr>
                <w:rFonts w:ascii="Times New Roman" w:hAnsi="Times New Roman"/>
                <w:b/>
                <w:sz w:val="24"/>
                <w:u w:val="single"/>
              </w:rPr>
              <w:t>nie</w:t>
            </w:r>
            <w:r w:rsidRPr="00B817D9">
              <w:rPr>
                <w:rFonts w:ascii="Times New Roman" w:hAnsi="Times New Roman"/>
                <w:b/>
                <w:sz w:val="24"/>
              </w:rPr>
              <w:t xml:space="preserve"> traktuje się jako ekspozycji wobec państwa – wartość ekspozycji wskaźnika dźwigni – ekspozycje według metody standardowej</w:t>
            </w:r>
          </w:p>
          <w:p w14:paraId="07928584" w14:textId="24C36522"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 wobec wielostronnych banków rozwoju, objęte art.</w:t>
            </w:r>
            <w:r w:rsidR="00B817D9" w:rsidRPr="00B817D9">
              <w:rPr>
                <w:rFonts w:ascii="Times New Roman" w:hAnsi="Times New Roman"/>
                <w:sz w:val="24"/>
              </w:rPr>
              <w:t> </w:t>
            </w:r>
            <w:r w:rsidRPr="00B817D9">
              <w:rPr>
                <w:rFonts w:ascii="Times New Roman" w:hAnsi="Times New Roman"/>
                <w:sz w:val="24"/>
              </w:rPr>
              <w:t>117 ust.</w:t>
            </w:r>
            <w:r w:rsidR="00B817D9" w:rsidRPr="00B817D9">
              <w:rPr>
                <w:rFonts w:ascii="Times New Roman" w:hAnsi="Times New Roman"/>
                <w:sz w:val="24"/>
              </w:rPr>
              <w:t> </w:t>
            </w:r>
            <w:r w:rsidRPr="00B817D9">
              <w:rPr>
                <w:rFonts w:ascii="Times New Roman" w:hAnsi="Times New Roman"/>
                <w:sz w:val="24"/>
              </w:rPr>
              <w:t>1</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01E4041D" w14:textId="00B0727A" w:rsidR="002509B1"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62B19F9C" w14:textId="77777777" w:rsidTr="000B66BC">
        <w:trPr>
          <w:trHeight w:val="71"/>
        </w:trPr>
        <w:tc>
          <w:tcPr>
            <w:tcW w:w="1559" w:type="dxa"/>
            <w:shd w:val="clear" w:color="auto" w:fill="FFFFFF"/>
          </w:tcPr>
          <w:p w14:paraId="49210C52" w14:textId="06EBFC79"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{0160;0020}</w:t>
            </w:r>
          </w:p>
        </w:tc>
        <w:tc>
          <w:tcPr>
            <w:tcW w:w="7406" w:type="dxa"/>
            <w:shd w:val="clear" w:color="auto" w:fill="FFFFFF"/>
          </w:tcPr>
          <w:p w14:paraId="13E28A92" w14:textId="77777777" w:rsidR="00F4754B"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 xml:space="preserve">Ekspozycje wobec wielostronnych banków rozwoju, których </w:t>
            </w:r>
            <w:r w:rsidRPr="00B817D9">
              <w:rPr>
                <w:rFonts w:ascii="Times New Roman" w:hAnsi="Times New Roman"/>
                <w:b/>
                <w:sz w:val="24"/>
                <w:u w:val="single"/>
              </w:rPr>
              <w:t>nie</w:t>
            </w:r>
            <w:r w:rsidRPr="00B817D9">
              <w:rPr>
                <w:rFonts w:ascii="Times New Roman" w:hAnsi="Times New Roman"/>
                <w:b/>
                <w:sz w:val="24"/>
              </w:rPr>
              <w:t xml:space="preserve"> traktuje się jako ekspozycji wobec państwa – wartość ekspozycji wskaźnika dźwigni – ekspozycje według metody IRB</w:t>
            </w:r>
          </w:p>
          <w:p w14:paraId="6D2C0352" w14:textId="67411B8B" w:rsidR="002509B1"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IRB wobec wielostronnych banków rozwoju, których nie traktuje się jako ekspozycji wobec państwa,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74CFCB27" w14:textId="063441C0" w:rsidR="009C4E79" w:rsidRPr="00B817D9" w:rsidDel="009A4B38"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3B7489DB" w14:textId="77777777" w:rsidTr="000B66BC">
        <w:trPr>
          <w:trHeight w:val="71"/>
        </w:trPr>
        <w:tc>
          <w:tcPr>
            <w:tcW w:w="1559" w:type="dxa"/>
            <w:shd w:val="clear" w:color="auto" w:fill="FFFFFF"/>
          </w:tcPr>
          <w:p w14:paraId="53451B08" w14:textId="0717E11A"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{0160;0030}</w:t>
            </w:r>
          </w:p>
        </w:tc>
        <w:tc>
          <w:tcPr>
            <w:tcW w:w="7406" w:type="dxa"/>
            <w:shd w:val="clear" w:color="auto" w:fill="FFFFFF"/>
          </w:tcPr>
          <w:p w14:paraId="1D2AE94F" w14:textId="3A23504D"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wielostronnych banków rozwoju, których nie traktuje się jako ekspozycji wobec państwa – kwota ekspozycji ważonej ryzykiem – ekspozycje według metody standardowej</w:t>
            </w:r>
          </w:p>
          <w:p w14:paraId="4B127308" w14:textId="4A42DEB3" w:rsidR="002509B1"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Kwota ekspozycji ważonej ryzykiem dla aktywów stanowiących ekspozycje według metody standardowej wobec wielostronnych banków rozwoju, objęte art.</w:t>
            </w:r>
            <w:r w:rsidR="00B817D9" w:rsidRPr="00B817D9">
              <w:rPr>
                <w:rFonts w:ascii="Times New Roman" w:hAnsi="Times New Roman"/>
                <w:sz w:val="24"/>
              </w:rPr>
              <w:t> </w:t>
            </w:r>
            <w:r w:rsidRPr="00B817D9">
              <w:rPr>
                <w:rFonts w:ascii="Times New Roman" w:hAnsi="Times New Roman"/>
                <w:sz w:val="24"/>
              </w:rPr>
              <w:t>117 ust.</w:t>
            </w:r>
            <w:r w:rsidR="00B817D9" w:rsidRPr="00B817D9">
              <w:rPr>
                <w:rFonts w:ascii="Times New Roman" w:hAnsi="Times New Roman"/>
                <w:sz w:val="24"/>
              </w:rPr>
              <w:t> </w:t>
            </w:r>
            <w:r w:rsidRPr="00B817D9">
              <w:rPr>
                <w:rFonts w:ascii="Times New Roman" w:hAnsi="Times New Roman"/>
                <w:sz w:val="24"/>
              </w:rPr>
              <w:t>1</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3</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6288F6E5" w14:textId="481F4915" w:rsidR="00086A8A"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44D6EB6F" w14:textId="77777777" w:rsidTr="000B66BC">
        <w:trPr>
          <w:trHeight w:val="71"/>
        </w:trPr>
        <w:tc>
          <w:tcPr>
            <w:tcW w:w="1559" w:type="dxa"/>
            <w:shd w:val="clear" w:color="auto" w:fill="FFFFFF"/>
          </w:tcPr>
          <w:p w14:paraId="00D96829" w14:textId="555FD614"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{0160;0040}</w:t>
            </w:r>
          </w:p>
        </w:tc>
        <w:tc>
          <w:tcPr>
            <w:tcW w:w="7406" w:type="dxa"/>
            <w:shd w:val="clear" w:color="auto" w:fill="FFFFFF"/>
          </w:tcPr>
          <w:p w14:paraId="00619AFE" w14:textId="73438BF5"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wielostronnych banków rozwoju, których nie traktuje się jako ekspozycji wobec państwa – kwota ekspozycji ważonej ryzykiem – ekspozycje według metody IRB</w:t>
            </w:r>
          </w:p>
          <w:p w14:paraId="466ECD88" w14:textId="6C0F38AA"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 wobec wielostronnych banków rozwoju, których nie traktuje się jako ekspozycji wobec państwa,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72DDDF92" w14:textId="6FAD844E"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533E38AC" w14:textId="77777777" w:rsidTr="000B66BC">
        <w:trPr>
          <w:trHeight w:val="71"/>
        </w:trPr>
        <w:tc>
          <w:tcPr>
            <w:tcW w:w="1559" w:type="dxa"/>
            <w:shd w:val="clear" w:color="auto" w:fill="FFFFFF"/>
          </w:tcPr>
          <w:p w14:paraId="0412E3DC" w14:textId="71F1E571"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{0170;0010}</w:t>
            </w:r>
          </w:p>
        </w:tc>
        <w:tc>
          <w:tcPr>
            <w:tcW w:w="7406" w:type="dxa"/>
            <w:shd w:val="clear" w:color="auto" w:fill="FFFFFF"/>
          </w:tcPr>
          <w:p w14:paraId="63BC1CED"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podmiotów sektora publicznego, których nie traktuje się jako ekspozycji wobec państwa – wartość ekspozycji wskaźnika dźwigni – ekspozycje według metody standardowej</w:t>
            </w:r>
          </w:p>
          <w:p w14:paraId="3FF6AAF1" w14:textId="70C10E6E"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 wobec podmiotów sektora publicznego, objęte art.</w:t>
            </w:r>
            <w:r w:rsidR="00B817D9" w:rsidRPr="00B817D9">
              <w:rPr>
                <w:rFonts w:ascii="Times New Roman" w:hAnsi="Times New Roman"/>
                <w:sz w:val="24"/>
              </w:rPr>
              <w:t> </w:t>
            </w:r>
            <w:r w:rsidRPr="00B817D9">
              <w:rPr>
                <w:rFonts w:ascii="Times New Roman" w:hAnsi="Times New Roman"/>
                <w:sz w:val="24"/>
              </w:rPr>
              <w:t>116 ust.</w:t>
            </w:r>
            <w:r w:rsidR="00B817D9" w:rsidRPr="00B817D9">
              <w:rPr>
                <w:rFonts w:ascii="Times New Roman" w:hAnsi="Times New Roman"/>
                <w:sz w:val="24"/>
              </w:rPr>
              <w:t> </w:t>
            </w:r>
            <w:r w:rsidRPr="00B817D9">
              <w:rPr>
                <w:rFonts w:ascii="Times New Roman" w:hAnsi="Times New Roman"/>
                <w:sz w:val="24"/>
              </w:rPr>
              <w:t>1, 2, 3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5</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7DF5A169" w14:textId="79FB274E" w:rsidR="000A486B" w:rsidRPr="00B817D9" w:rsidRDefault="00086A8A" w:rsidP="000B66BC">
            <w:pPr>
              <w:pStyle w:val="BodyText1"/>
              <w:spacing w:after="240" w:line="240" w:lineRule="auto"/>
              <w:rPr>
                <w:rFonts w:ascii="Times New Roman" w:hAnsi="Times New Roman"/>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3A5C3310" w14:textId="77777777" w:rsidTr="000B66BC">
        <w:trPr>
          <w:trHeight w:val="71"/>
        </w:trPr>
        <w:tc>
          <w:tcPr>
            <w:tcW w:w="1559" w:type="dxa"/>
            <w:shd w:val="clear" w:color="auto" w:fill="FFFFFF"/>
          </w:tcPr>
          <w:p w14:paraId="1510FE52" w14:textId="0733B660"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{0170;0020}</w:t>
            </w:r>
          </w:p>
        </w:tc>
        <w:tc>
          <w:tcPr>
            <w:tcW w:w="7406" w:type="dxa"/>
            <w:shd w:val="clear" w:color="auto" w:fill="FFFFFF"/>
          </w:tcPr>
          <w:p w14:paraId="426AE44C" w14:textId="331FC92F" w:rsidR="002509B1"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wobec podmiotów sektora publicznego, których nie traktuje się jako ekspozycji wobec państwa – wartość ekspozycji wskaźnika dźwigni – ekspozycje według metody IRB</w:t>
            </w:r>
          </w:p>
          <w:p w14:paraId="19C4FD72" w14:textId="248E697C"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IRB wobec podmiotów sektora publicznego, których nie traktuje się jako ekspozycji wobec państwa,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w:t>
            </w:r>
          </w:p>
          <w:p w14:paraId="21D9C4B6" w14:textId="738536C0" w:rsidR="009C4E79" w:rsidRPr="00B817D9" w:rsidDel="00973F1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1BE427F7" w14:textId="77777777" w:rsidTr="000B66BC">
        <w:trPr>
          <w:trHeight w:val="71"/>
        </w:trPr>
        <w:tc>
          <w:tcPr>
            <w:tcW w:w="1559" w:type="dxa"/>
            <w:shd w:val="clear" w:color="auto" w:fill="FFFFFF"/>
          </w:tcPr>
          <w:p w14:paraId="7E1FC872" w14:textId="1CF85BB7"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{0170;0030}</w:t>
            </w:r>
          </w:p>
        </w:tc>
        <w:tc>
          <w:tcPr>
            <w:tcW w:w="7406" w:type="dxa"/>
            <w:shd w:val="clear" w:color="auto" w:fill="FFFFFF"/>
          </w:tcPr>
          <w:p w14:paraId="2459C33D" w14:textId="7EE34236"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podmiotów sektora publicznego, których nie traktuje się jako ekspozycji wobec państwa – kwota ekspozycji ważonej ryzykiem – ekspozycje według metody standardowej</w:t>
            </w:r>
          </w:p>
          <w:p w14:paraId="7ED0D977" w14:textId="185F3DB0"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standardowej wobec podmiotów sektora publicznego, objęte art.</w:t>
            </w:r>
            <w:r w:rsidR="00B817D9" w:rsidRPr="00B817D9">
              <w:rPr>
                <w:rFonts w:ascii="Times New Roman" w:hAnsi="Times New Roman"/>
                <w:sz w:val="24"/>
              </w:rPr>
              <w:t> </w:t>
            </w:r>
            <w:r w:rsidRPr="00B817D9">
              <w:rPr>
                <w:rFonts w:ascii="Times New Roman" w:hAnsi="Times New Roman"/>
                <w:sz w:val="24"/>
              </w:rPr>
              <w:t>116 ust.</w:t>
            </w:r>
            <w:r w:rsidR="00B817D9" w:rsidRPr="00B817D9">
              <w:rPr>
                <w:rFonts w:ascii="Times New Roman" w:hAnsi="Times New Roman"/>
                <w:sz w:val="24"/>
              </w:rPr>
              <w:t> </w:t>
            </w:r>
            <w:r w:rsidRPr="00B817D9">
              <w:rPr>
                <w:rFonts w:ascii="Times New Roman" w:hAnsi="Times New Roman"/>
                <w:sz w:val="24"/>
              </w:rPr>
              <w:t>1, 2, 3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5</w:t>
            </w:r>
            <w:r w:rsidRPr="00B817D9">
              <w:rPr>
                <w:rFonts w:ascii="Times New Roman" w:hAnsi="Times New Roman"/>
                <w:sz w:val="24"/>
              </w:rPr>
              <w:t xml:space="preserve"> rozporządzenia (UE) nr</w:t>
            </w:r>
            <w:r w:rsidR="00B817D9" w:rsidRPr="00B817D9">
              <w:rPr>
                <w:rFonts w:ascii="Times New Roman" w:hAnsi="Times New Roman"/>
                <w:sz w:val="24"/>
              </w:rPr>
              <w:t> </w:t>
            </w:r>
            <w:r w:rsidRPr="00B817D9">
              <w:rPr>
                <w:rFonts w:ascii="Times New Roman" w:hAnsi="Times New Roman"/>
                <w:sz w:val="24"/>
              </w:rPr>
              <w:t>575/2013.</w:t>
            </w:r>
          </w:p>
          <w:p w14:paraId="2E4EB0DF" w14:textId="03959371"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6C878C4C" w14:textId="77777777" w:rsidTr="000B66BC">
        <w:trPr>
          <w:trHeight w:val="71"/>
        </w:trPr>
        <w:tc>
          <w:tcPr>
            <w:tcW w:w="1559" w:type="dxa"/>
            <w:shd w:val="clear" w:color="auto" w:fill="FFFFFF"/>
          </w:tcPr>
          <w:p w14:paraId="1ADDF71D" w14:textId="4FD509A0"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{0170;0040}</w:t>
            </w:r>
          </w:p>
        </w:tc>
        <w:tc>
          <w:tcPr>
            <w:tcW w:w="7406" w:type="dxa"/>
            <w:shd w:val="clear" w:color="auto" w:fill="FFFFFF"/>
          </w:tcPr>
          <w:p w14:paraId="505DD8D8" w14:textId="3ADF1093"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podmiotów sektora publicznego, których nie traktuje się jako ekspozycji wobec państwa – kwota ekspozycji ważonej ryzykiem – ekspozycje według metody IRB</w:t>
            </w:r>
          </w:p>
          <w:p w14:paraId="3B167735" w14:textId="537D2823"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 wobec podmiotów sektora publicznego, których nie traktuje się jako ekspozycji wobec państwa,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w:t>
            </w:r>
          </w:p>
          <w:p w14:paraId="786F9A83" w14:textId="4738A295" w:rsidR="009C4E79"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4C6FA863" w14:textId="77777777" w:rsidTr="000B66BC">
        <w:trPr>
          <w:trHeight w:val="71"/>
        </w:trPr>
        <w:tc>
          <w:tcPr>
            <w:tcW w:w="1559" w:type="dxa"/>
            <w:shd w:val="clear" w:color="auto" w:fill="FFFFFF"/>
          </w:tcPr>
          <w:p w14:paraId="271E316D" w14:textId="22F0A69D"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{0180;0010}</w:t>
            </w:r>
          </w:p>
        </w:tc>
        <w:tc>
          <w:tcPr>
            <w:tcW w:w="7406" w:type="dxa"/>
            <w:shd w:val="clear" w:color="auto" w:fill="FFFFFF"/>
          </w:tcPr>
          <w:p w14:paraId="4C5AF924" w14:textId="77777777" w:rsidR="00F4754B"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wobec instytucji – wartość ekspozycji wskaźnika dźwigni – ekspozycje według metody standardowej</w:t>
            </w:r>
          </w:p>
          <w:p w14:paraId="285DE0DE" w14:textId="3F263BBD"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Wartość ekspozycji wskaźnika dźwigni dla aktywów stanowiących ekspozycje według metody standardowej wobec instytucji, objęte art.</w:t>
            </w:r>
            <w:r w:rsidR="00B817D9" w:rsidRPr="00B817D9">
              <w:rPr>
                <w:rFonts w:ascii="Times New Roman" w:hAnsi="Times New Roman"/>
                <w:sz w:val="24"/>
              </w:rPr>
              <w:t> </w:t>
            </w:r>
            <w:r w:rsidRPr="00B817D9">
              <w:rPr>
                <w:rFonts w:ascii="Times New Roman" w:hAnsi="Times New Roman"/>
                <w:sz w:val="24"/>
              </w:rPr>
              <w:t>119–121 rozporządzenia (UE) nr</w:t>
            </w:r>
            <w:r w:rsidR="00B817D9" w:rsidRPr="00B817D9">
              <w:rPr>
                <w:rFonts w:ascii="Times New Roman" w:hAnsi="Times New Roman"/>
                <w:sz w:val="24"/>
              </w:rPr>
              <w:t> </w:t>
            </w:r>
            <w:r w:rsidRPr="00B817D9">
              <w:rPr>
                <w:rFonts w:ascii="Times New Roman" w:hAnsi="Times New Roman"/>
                <w:sz w:val="24"/>
              </w:rPr>
              <w:t>575/2013.</w:t>
            </w:r>
          </w:p>
          <w:p w14:paraId="718668CE" w14:textId="4B228AF6" w:rsidR="002509B1"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7F4516FE" w14:textId="77777777" w:rsidTr="000B66BC">
        <w:trPr>
          <w:trHeight w:val="71"/>
        </w:trPr>
        <w:tc>
          <w:tcPr>
            <w:tcW w:w="1559" w:type="dxa"/>
            <w:shd w:val="clear" w:color="auto" w:fill="FFFFFF"/>
          </w:tcPr>
          <w:p w14:paraId="729BBA0D" w14:textId="3387B1D2"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lastRenderedPageBreak/>
              <w:t>{0180;0020}</w:t>
            </w:r>
          </w:p>
        </w:tc>
        <w:tc>
          <w:tcPr>
            <w:tcW w:w="7406" w:type="dxa"/>
            <w:shd w:val="clear" w:color="auto" w:fill="FFFFFF"/>
          </w:tcPr>
          <w:p w14:paraId="5B3D67A0" w14:textId="77777777"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b/>
                <w:sz w:val="24"/>
              </w:rPr>
              <w:t>Ekspozycje wobec instytucji – wartość ekspozycji wskaźnika dźwigni – ekspozycje według metody IRB</w:t>
            </w:r>
          </w:p>
          <w:p w14:paraId="50027CF2" w14:textId="1915226A" w:rsidR="002509B1"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Wartość ekspozycji wskaźnika dźwigni dla aktywów stanowiących ekspozycje według metody IRB wobec instytucji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 które nie stanowią ekspozycji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obligacji zabezpieczonych na mocy art.</w:t>
            </w:r>
            <w:r w:rsidR="00B817D9" w:rsidRPr="00B817D9">
              <w:rPr>
                <w:rFonts w:ascii="Times New Roman" w:hAnsi="Times New Roman"/>
                <w:sz w:val="24"/>
              </w:rPr>
              <w:t> </w:t>
            </w:r>
            <w:r w:rsidRPr="00B817D9">
              <w:rPr>
                <w:rFonts w:ascii="Times New Roman" w:hAnsi="Times New Roman"/>
                <w:sz w:val="24"/>
              </w:rPr>
              <w:t>161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 xml:space="preserve"> są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74D3DFFE" w14:textId="50B07F0A" w:rsidR="009C4E79"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63DBCD42" w14:textId="77777777" w:rsidTr="000B66BC">
        <w:trPr>
          <w:trHeight w:val="71"/>
        </w:trPr>
        <w:tc>
          <w:tcPr>
            <w:tcW w:w="1559" w:type="dxa"/>
            <w:shd w:val="clear" w:color="auto" w:fill="FFFFFF"/>
          </w:tcPr>
          <w:p w14:paraId="18901B11" w14:textId="0DF0567F"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{0180;0030}</w:t>
            </w:r>
          </w:p>
        </w:tc>
        <w:tc>
          <w:tcPr>
            <w:tcW w:w="7406" w:type="dxa"/>
            <w:shd w:val="clear" w:color="auto" w:fill="FFFFFF"/>
          </w:tcPr>
          <w:p w14:paraId="6B6B1A57" w14:textId="58330F91"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instytucji – kwota ekspozycji ważonej ryzykiem – ekspozycje według metody standardowej</w:t>
            </w:r>
          </w:p>
          <w:p w14:paraId="7CE29C3B" w14:textId="68D32835"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standardowej wobec instytucji, objęte art.</w:t>
            </w:r>
            <w:r w:rsidR="00B817D9" w:rsidRPr="00B817D9">
              <w:rPr>
                <w:rFonts w:ascii="Times New Roman" w:hAnsi="Times New Roman"/>
                <w:sz w:val="24"/>
              </w:rPr>
              <w:t> </w:t>
            </w:r>
            <w:r w:rsidRPr="00B817D9">
              <w:rPr>
                <w:rFonts w:ascii="Times New Roman" w:hAnsi="Times New Roman"/>
                <w:sz w:val="24"/>
              </w:rPr>
              <w:t>119–121 rozporządzenia (UE) nr</w:t>
            </w:r>
            <w:r w:rsidR="00B817D9" w:rsidRPr="00B817D9">
              <w:rPr>
                <w:rFonts w:ascii="Times New Roman" w:hAnsi="Times New Roman"/>
                <w:sz w:val="24"/>
              </w:rPr>
              <w:t> </w:t>
            </w:r>
            <w:r w:rsidRPr="00B817D9">
              <w:rPr>
                <w:rFonts w:ascii="Times New Roman" w:hAnsi="Times New Roman"/>
                <w:sz w:val="24"/>
              </w:rPr>
              <w:t>575/2013.</w:t>
            </w:r>
          </w:p>
          <w:p w14:paraId="6FA68F7E" w14:textId="7949A67B"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1EFD30DA" w14:textId="77777777" w:rsidTr="000B66BC">
        <w:trPr>
          <w:trHeight w:val="71"/>
        </w:trPr>
        <w:tc>
          <w:tcPr>
            <w:tcW w:w="1559" w:type="dxa"/>
            <w:shd w:val="clear" w:color="auto" w:fill="FFFFFF"/>
          </w:tcPr>
          <w:p w14:paraId="025E39D1" w14:textId="03E4A4D2"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{0180;0040}</w:t>
            </w:r>
          </w:p>
        </w:tc>
        <w:tc>
          <w:tcPr>
            <w:tcW w:w="7406" w:type="dxa"/>
            <w:shd w:val="clear" w:color="auto" w:fill="FFFFFF"/>
          </w:tcPr>
          <w:p w14:paraId="73DCBC6C" w14:textId="7593C5D5"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instytucji – kwota ekspozycji ważonej ryzykiem – ekspozycje według metody IRB</w:t>
            </w:r>
          </w:p>
          <w:p w14:paraId="5E814575" w14:textId="52BC8558"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 wobec instytucji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 które nie stanowią ekspozycji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obligacji zabezpieczonych na mocy art.</w:t>
            </w:r>
            <w:r w:rsidR="00B817D9" w:rsidRPr="00B817D9">
              <w:rPr>
                <w:rFonts w:ascii="Times New Roman" w:hAnsi="Times New Roman"/>
                <w:sz w:val="24"/>
              </w:rPr>
              <w:t> </w:t>
            </w:r>
            <w:r w:rsidRPr="00B817D9">
              <w:rPr>
                <w:rFonts w:ascii="Times New Roman" w:hAnsi="Times New Roman"/>
                <w:sz w:val="24"/>
              </w:rPr>
              <w:t>161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d)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 xml:space="preserve"> są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4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w:t>
            </w:r>
          </w:p>
          <w:p w14:paraId="1830B0D9" w14:textId="127A9738"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3B7F5DF8" w14:textId="77777777" w:rsidTr="000B66BC">
        <w:trPr>
          <w:trHeight w:val="71"/>
        </w:trPr>
        <w:tc>
          <w:tcPr>
            <w:tcW w:w="1559" w:type="dxa"/>
            <w:shd w:val="clear" w:color="auto" w:fill="FFFFFF"/>
          </w:tcPr>
          <w:p w14:paraId="7247E1A0" w14:textId="091D4A6A"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{0190;0010}</w:t>
            </w:r>
          </w:p>
        </w:tc>
        <w:tc>
          <w:tcPr>
            <w:tcW w:w="7406" w:type="dxa"/>
            <w:shd w:val="clear" w:color="auto" w:fill="FFFFFF"/>
          </w:tcPr>
          <w:p w14:paraId="1DB57456" w14:textId="01AD74E9"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zabezpieczone hipotekami na nieruchomościach oraz ekspozycje ADC – wartość ekspozycji wskaźnika dźwigni – ekspozycje według metody standardowej</w:t>
            </w:r>
          </w:p>
          <w:p w14:paraId="17D67F5E" w14:textId="0F1E26DB"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 xml:space="preserve">Wartość ekspozycji wskaźnika dźwigni dla aktywów stanowiących ekspozycje według metody standardowej zabezpieczone hipotekami na </w:t>
            </w:r>
            <w:r w:rsidRPr="00B817D9">
              <w:rPr>
                <w:rFonts w:ascii="Times New Roman" w:hAnsi="Times New Roman"/>
                <w:sz w:val="24"/>
              </w:rPr>
              <w:lastRenderedPageBreak/>
              <w:t>nieruchomościach oraz ekspozycje ADC, objęte art.</w:t>
            </w:r>
            <w:r w:rsidR="00B817D9" w:rsidRPr="00B817D9">
              <w:rPr>
                <w:rFonts w:ascii="Times New Roman" w:hAnsi="Times New Roman"/>
                <w:sz w:val="24"/>
              </w:rPr>
              <w:t> </w:t>
            </w:r>
            <w:r w:rsidRPr="00B817D9">
              <w:rPr>
                <w:rFonts w:ascii="Times New Roman" w:hAnsi="Times New Roman"/>
                <w:sz w:val="24"/>
              </w:rPr>
              <w:t>124</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1</w:t>
            </w:r>
            <w:r w:rsidRPr="00B817D9">
              <w:rPr>
                <w:rFonts w:ascii="Times New Roman" w:hAnsi="Times New Roman"/>
                <w:sz w:val="24"/>
              </w:rPr>
              <w:t>26a rozporządzenia (UE) nr</w:t>
            </w:r>
            <w:r w:rsidR="00B817D9" w:rsidRPr="00B817D9">
              <w:rPr>
                <w:rFonts w:ascii="Times New Roman" w:hAnsi="Times New Roman"/>
                <w:sz w:val="24"/>
              </w:rPr>
              <w:t> </w:t>
            </w:r>
            <w:r w:rsidRPr="00B817D9">
              <w:rPr>
                <w:rFonts w:ascii="Times New Roman" w:hAnsi="Times New Roman"/>
                <w:sz w:val="24"/>
              </w:rPr>
              <w:t>575/2013.</w:t>
            </w:r>
          </w:p>
          <w:p w14:paraId="4640B57D" w14:textId="7B28B7DF" w:rsidR="000A486B"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56FBD004" w14:textId="77777777" w:rsidTr="000B66BC">
        <w:trPr>
          <w:trHeight w:val="71"/>
        </w:trPr>
        <w:tc>
          <w:tcPr>
            <w:tcW w:w="1559" w:type="dxa"/>
            <w:shd w:val="clear" w:color="auto" w:fill="FFFFFF"/>
          </w:tcPr>
          <w:p w14:paraId="2044B99B" w14:textId="7BA570D9"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lastRenderedPageBreak/>
              <w:t>{0190;0020}</w:t>
            </w:r>
          </w:p>
        </w:tc>
        <w:tc>
          <w:tcPr>
            <w:tcW w:w="7406" w:type="dxa"/>
            <w:shd w:val="clear" w:color="auto" w:fill="FFFFFF"/>
          </w:tcPr>
          <w:p w14:paraId="65802FBC" w14:textId="3578B747"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zabezpieczone hipotekami na nieruchomościach oraz ekspozycje ADC – wartość ekspozycji wskaźnika dźwigni – ekspozycje według metody IRB</w:t>
            </w:r>
          </w:p>
          <w:p w14:paraId="61A2701B" w14:textId="5C12A1E8" w:rsidR="001E1518"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IRB wobec przedsiębiorstw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lub ekspozycje detaliczne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d) pkt (ii) rozporządzenia (UE) nr</w:t>
            </w:r>
            <w:r w:rsidR="00B817D9" w:rsidRPr="00B817D9">
              <w:rPr>
                <w:rFonts w:ascii="Times New Roman" w:hAnsi="Times New Roman"/>
                <w:sz w:val="24"/>
              </w:rPr>
              <w:t> </w:t>
            </w:r>
            <w:r w:rsidRPr="00B817D9">
              <w:rPr>
                <w:rFonts w:ascii="Times New Roman" w:hAnsi="Times New Roman"/>
                <w:sz w:val="24"/>
              </w:rPr>
              <w:t>575/2013, jeżeli takie ekspozycje są zabezpieczone hipotekami na nieruchomościach i są ekspozycjami ADC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1A4EAAD1" w14:textId="25F5CC11" w:rsidR="009C4E79" w:rsidRPr="00B817D9" w:rsidRDefault="009C4E79"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IRB, których dotyczy niewykonanie zobowiązania.</w:t>
            </w:r>
          </w:p>
        </w:tc>
      </w:tr>
      <w:tr w:rsidR="002A54FF" w:rsidRPr="00B817D9" w14:paraId="502C4EF4" w14:textId="77777777" w:rsidTr="000B66BC">
        <w:trPr>
          <w:trHeight w:val="71"/>
        </w:trPr>
        <w:tc>
          <w:tcPr>
            <w:tcW w:w="1559" w:type="dxa"/>
            <w:shd w:val="clear" w:color="auto" w:fill="FFFFFF"/>
          </w:tcPr>
          <w:p w14:paraId="15681D38" w14:textId="06E026C3"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{0190;0030}</w:t>
            </w:r>
          </w:p>
        </w:tc>
        <w:tc>
          <w:tcPr>
            <w:tcW w:w="7406" w:type="dxa"/>
            <w:shd w:val="clear" w:color="auto" w:fill="FFFFFF"/>
          </w:tcPr>
          <w:p w14:paraId="660D9FEE" w14:textId="6E11FD18"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zabezpieczone hipotekami na nieruchomościach oraz ekspozycje ADC – kwota ekspozycji ważonej ryzykiem – ekspozycje według metody standardowej</w:t>
            </w:r>
          </w:p>
          <w:p w14:paraId="7FD54199" w14:textId="38995679" w:rsidR="002509B1"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Kwota ekspozycji ważonej ryzykiem dla aktywów stanowiących ekspozycje według metody standardowej zabezpieczone hipotekami na nieruchomościach oraz ekspozycje ADC, objęte art.</w:t>
            </w:r>
            <w:r w:rsidR="00B817D9" w:rsidRPr="00B817D9">
              <w:rPr>
                <w:rFonts w:ascii="Times New Roman" w:hAnsi="Times New Roman"/>
                <w:sz w:val="24"/>
              </w:rPr>
              <w:t> </w:t>
            </w:r>
            <w:r w:rsidRPr="00B817D9">
              <w:rPr>
                <w:rFonts w:ascii="Times New Roman" w:hAnsi="Times New Roman"/>
                <w:sz w:val="24"/>
              </w:rPr>
              <w:t>124</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1</w:t>
            </w:r>
            <w:r w:rsidRPr="00B817D9">
              <w:rPr>
                <w:rFonts w:ascii="Times New Roman" w:hAnsi="Times New Roman"/>
                <w:sz w:val="24"/>
              </w:rPr>
              <w:t>26a rozporządzenia (UE) nr</w:t>
            </w:r>
            <w:r w:rsidR="00B817D9" w:rsidRPr="00B817D9">
              <w:rPr>
                <w:rFonts w:ascii="Times New Roman" w:hAnsi="Times New Roman"/>
                <w:sz w:val="24"/>
              </w:rPr>
              <w:t> </w:t>
            </w:r>
            <w:r w:rsidRPr="00B817D9">
              <w:rPr>
                <w:rFonts w:ascii="Times New Roman" w:hAnsi="Times New Roman"/>
                <w:sz w:val="24"/>
              </w:rPr>
              <w:t>575/2013.</w:t>
            </w:r>
          </w:p>
          <w:p w14:paraId="19AB0004" w14:textId="5017684F" w:rsidR="00086A8A"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523C1CD0" w14:textId="77777777" w:rsidTr="000B66BC">
        <w:trPr>
          <w:trHeight w:val="71"/>
        </w:trPr>
        <w:tc>
          <w:tcPr>
            <w:tcW w:w="1559" w:type="dxa"/>
            <w:shd w:val="clear" w:color="auto" w:fill="FFFFFF"/>
          </w:tcPr>
          <w:p w14:paraId="4EDDB4A4" w14:textId="1F5C8592"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{0190;0040}</w:t>
            </w:r>
          </w:p>
        </w:tc>
        <w:tc>
          <w:tcPr>
            <w:tcW w:w="7406" w:type="dxa"/>
            <w:shd w:val="clear" w:color="auto" w:fill="FFFFFF"/>
          </w:tcPr>
          <w:p w14:paraId="2A67D4CA" w14:textId="3E88AF47" w:rsidR="00F4754B" w:rsidRPr="00B817D9" w:rsidRDefault="00F4754B" w:rsidP="000B66BC">
            <w:pPr>
              <w:pStyle w:val="BodyText1"/>
              <w:tabs>
                <w:tab w:val="left" w:pos="6382"/>
              </w:tabs>
              <w:spacing w:after="240" w:line="240" w:lineRule="auto"/>
              <w:rPr>
                <w:rFonts w:ascii="Times New Roman" w:hAnsi="Times New Roman"/>
                <w:b/>
                <w:bCs/>
                <w:sz w:val="24"/>
                <w:szCs w:val="24"/>
              </w:rPr>
            </w:pPr>
            <w:r w:rsidRPr="00B817D9">
              <w:rPr>
                <w:rFonts w:ascii="Times New Roman" w:hAnsi="Times New Roman"/>
                <w:b/>
                <w:sz w:val="24"/>
              </w:rPr>
              <w:t>Ekspozycje zabezpieczone hipotekami na nieruchomościach oraz ekspozycje ADC – kwota ekspozycji ważonej ryzykiem – ekspozycje według metody IRB</w:t>
            </w:r>
            <w:r w:rsidRPr="00B817D9">
              <w:tab/>
            </w:r>
          </w:p>
          <w:p w14:paraId="7586DF94" w14:textId="3E0C5F48" w:rsidR="009C4E79"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Kwota ekspozycji ważonej ryzykiem dla aktywów stanowiących ekspozycje według metody IRB wobec przedsiębiorstw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lub ekspozycje detaliczne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d) pkt (ii) rozporządzenia (UE) nr</w:t>
            </w:r>
            <w:r w:rsidR="00B817D9" w:rsidRPr="00B817D9">
              <w:rPr>
                <w:rFonts w:ascii="Times New Roman" w:hAnsi="Times New Roman"/>
                <w:sz w:val="24"/>
              </w:rPr>
              <w:t> </w:t>
            </w:r>
            <w:r w:rsidRPr="00B817D9">
              <w:rPr>
                <w:rFonts w:ascii="Times New Roman" w:hAnsi="Times New Roman"/>
                <w:sz w:val="24"/>
              </w:rPr>
              <w:t>575/2013, jeżeli takie ekspozycje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 Instytucje nie zgłaszają tu ekspozycji według metody IRB, których dotyczy niewykonanie zobowiązania.</w:t>
            </w:r>
          </w:p>
        </w:tc>
      </w:tr>
      <w:tr w:rsidR="002A54FF" w:rsidRPr="00B817D9" w14:paraId="79F6725D" w14:textId="77777777" w:rsidTr="000B66BC">
        <w:trPr>
          <w:trHeight w:val="71"/>
        </w:trPr>
        <w:tc>
          <w:tcPr>
            <w:tcW w:w="1559" w:type="dxa"/>
            <w:shd w:val="clear" w:color="auto" w:fill="FFFFFF"/>
          </w:tcPr>
          <w:p w14:paraId="672A2EB4" w14:textId="70F516D1"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{0200;0010}</w:t>
            </w:r>
          </w:p>
        </w:tc>
        <w:tc>
          <w:tcPr>
            <w:tcW w:w="7406" w:type="dxa"/>
            <w:shd w:val="clear" w:color="auto" w:fill="FFFFFF"/>
          </w:tcPr>
          <w:p w14:paraId="584E92BF" w14:textId="77777777" w:rsidR="00F4754B" w:rsidRPr="00B817D9" w:rsidRDefault="00920DD9"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ekspozycje zabezpieczone hipotekami na nieruchomościach mieszkalnych – wartość ekspozycji wskaźnika dźwigni – ekspozycje według metody standardowej</w:t>
            </w:r>
          </w:p>
          <w:p w14:paraId="6D68CB80" w14:textId="32C94E79"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peł</w:t>
            </w:r>
            <w:r w:rsidRPr="00B817D9">
              <w:rPr>
                <w:rFonts w:ascii="Times New Roman" w:hAnsi="Times New Roman"/>
                <w:sz w:val="24"/>
              </w:rPr>
              <w:t>ni</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cał</w:t>
            </w:r>
            <w:r w:rsidRPr="00B817D9">
              <w:rPr>
                <w:rFonts w:ascii="Times New Roman" w:hAnsi="Times New Roman"/>
                <w:sz w:val="24"/>
              </w:rPr>
              <w:t xml:space="preserve">kowicie </w:t>
            </w:r>
            <w:r w:rsidRPr="00B817D9">
              <w:rPr>
                <w:rFonts w:ascii="Times New Roman" w:hAnsi="Times New Roman"/>
                <w:sz w:val="24"/>
              </w:rPr>
              <w:lastRenderedPageBreak/>
              <w:t>zabezpieczone hipotekami na nieruchomościach mieszkalnych, objęte art.</w:t>
            </w:r>
            <w:r w:rsidR="00B817D9" w:rsidRPr="00B817D9">
              <w:rPr>
                <w:rFonts w:ascii="Times New Roman" w:hAnsi="Times New Roman"/>
                <w:sz w:val="24"/>
              </w:rPr>
              <w:t> </w:t>
            </w:r>
            <w:r w:rsidRPr="00B817D9">
              <w:rPr>
                <w:rFonts w:ascii="Times New Roman" w:hAnsi="Times New Roman"/>
                <w:sz w:val="24"/>
              </w:rPr>
              <w:t>125 rozporządzenia (UE) nr</w:t>
            </w:r>
            <w:r w:rsidR="00B817D9" w:rsidRPr="00B817D9">
              <w:rPr>
                <w:rFonts w:ascii="Times New Roman" w:hAnsi="Times New Roman"/>
                <w:sz w:val="24"/>
              </w:rPr>
              <w:t> </w:t>
            </w:r>
            <w:r w:rsidRPr="00B817D9">
              <w:rPr>
                <w:rFonts w:ascii="Times New Roman" w:hAnsi="Times New Roman"/>
                <w:sz w:val="24"/>
              </w:rPr>
              <w:t>575/2013.</w:t>
            </w:r>
          </w:p>
          <w:p w14:paraId="76AD85E4" w14:textId="268C492C" w:rsidR="002509B1"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29B94991" w14:textId="77777777" w:rsidTr="000B66BC">
        <w:trPr>
          <w:trHeight w:val="71"/>
        </w:trPr>
        <w:tc>
          <w:tcPr>
            <w:tcW w:w="1559" w:type="dxa"/>
            <w:shd w:val="clear" w:color="auto" w:fill="FFFFFF"/>
          </w:tcPr>
          <w:p w14:paraId="7E8E4168" w14:textId="098FD087"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lastRenderedPageBreak/>
              <w:t>{0200;0020}</w:t>
            </w:r>
          </w:p>
        </w:tc>
        <w:tc>
          <w:tcPr>
            <w:tcW w:w="7406" w:type="dxa"/>
            <w:shd w:val="clear" w:color="auto" w:fill="FFFFFF"/>
          </w:tcPr>
          <w:p w14:paraId="32703B14" w14:textId="77777777" w:rsidR="00F4754B" w:rsidRPr="00B817D9" w:rsidRDefault="00920DD9" w:rsidP="000B66BC">
            <w:pPr>
              <w:pStyle w:val="BodyText1"/>
              <w:spacing w:after="240" w:line="240" w:lineRule="auto"/>
              <w:rPr>
                <w:rFonts w:ascii="Times New Roman" w:hAnsi="Times New Roman"/>
                <w:b/>
                <w:sz w:val="24"/>
                <w:szCs w:val="24"/>
              </w:rPr>
            </w:pPr>
            <w:r w:rsidRPr="00B817D9">
              <w:rPr>
                <w:rFonts w:ascii="Times New Roman" w:hAnsi="Times New Roman"/>
                <w:b/>
                <w:sz w:val="24"/>
              </w:rPr>
              <w:t>W tym: ekspozycje zabezpieczone hipotekami na nieruchomościach mieszkalnych – wartość ekspozycji wskaźnika dźwigni – ekspozycje według metody IRB</w:t>
            </w:r>
          </w:p>
          <w:p w14:paraId="225F5A50" w14:textId="2B698592"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IRB wobec przedsiębiorstw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lub ekspozycje detaliczne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d) pkt (ii) rozporządzenia (UE) nr</w:t>
            </w:r>
            <w:r w:rsidR="00B817D9" w:rsidRPr="00B817D9">
              <w:rPr>
                <w:rFonts w:ascii="Times New Roman" w:hAnsi="Times New Roman"/>
                <w:sz w:val="24"/>
              </w:rPr>
              <w:t> </w:t>
            </w:r>
            <w:r w:rsidRPr="00B817D9">
              <w:rPr>
                <w:rFonts w:ascii="Times New Roman" w:hAnsi="Times New Roman"/>
                <w:sz w:val="24"/>
              </w:rPr>
              <w:t>575/2013, jeżeli takie ekspozycje są zabezpieczone hipotekami na nieruchomościach mieszkalnych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3F187E7D" w14:textId="2026D8AC" w:rsidR="004B064A" w:rsidRPr="00B817D9" w:rsidDel="003A59D6"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14374F64" w14:textId="77777777" w:rsidTr="000B66BC">
        <w:trPr>
          <w:trHeight w:val="71"/>
        </w:trPr>
        <w:tc>
          <w:tcPr>
            <w:tcW w:w="1559" w:type="dxa"/>
            <w:shd w:val="clear" w:color="auto" w:fill="FFFFFF"/>
          </w:tcPr>
          <w:p w14:paraId="44481671" w14:textId="49318961"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{0200;0030}</w:t>
            </w:r>
          </w:p>
        </w:tc>
        <w:tc>
          <w:tcPr>
            <w:tcW w:w="7406" w:type="dxa"/>
            <w:shd w:val="clear" w:color="auto" w:fill="FFFFFF"/>
          </w:tcPr>
          <w:p w14:paraId="1C91D3EE" w14:textId="0C703C50" w:rsidR="00F4754B" w:rsidRPr="00B817D9" w:rsidRDefault="00920DD9"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ekspozycje zabezpieczone hipotekami na nieruchomościach mieszkalnych – kwota ekspozycji ważonej ryzykiem – ekspozycje według metody standardowej</w:t>
            </w:r>
          </w:p>
          <w:p w14:paraId="2432C156" w14:textId="4B9D6633"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standardowej</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peł</w:t>
            </w:r>
            <w:r w:rsidRPr="00B817D9">
              <w:rPr>
                <w:rFonts w:ascii="Times New Roman" w:hAnsi="Times New Roman"/>
                <w:sz w:val="24"/>
              </w:rPr>
              <w:t>ni</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cał</w:t>
            </w:r>
            <w:r w:rsidRPr="00B817D9">
              <w:rPr>
                <w:rFonts w:ascii="Times New Roman" w:hAnsi="Times New Roman"/>
                <w:sz w:val="24"/>
              </w:rPr>
              <w:t>kowicie zabezpieczone hipotekami na nieruchomościach mieszkalnych, objęte art.</w:t>
            </w:r>
            <w:r w:rsidR="00B817D9" w:rsidRPr="00B817D9">
              <w:rPr>
                <w:rFonts w:ascii="Times New Roman" w:hAnsi="Times New Roman"/>
                <w:sz w:val="24"/>
              </w:rPr>
              <w:t> </w:t>
            </w:r>
            <w:r w:rsidRPr="00B817D9">
              <w:rPr>
                <w:rFonts w:ascii="Times New Roman" w:hAnsi="Times New Roman"/>
                <w:sz w:val="24"/>
              </w:rPr>
              <w:t>125 rozporządzenia (UE) nr</w:t>
            </w:r>
            <w:r w:rsidR="00B817D9" w:rsidRPr="00B817D9">
              <w:rPr>
                <w:rFonts w:ascii="Times New Roman" w:hAnsi="Times New Roman"/>
                <w:sz w:val="24"/>
              </w:rPr>
              <w:t> </w:t>
            </w:r>
            <w:r w:rsidRPr="00B817D9">
              <w:rPr>
                <w:rFonts w:ascii="Times New Roman" w:hAnsi="Times New Roman"/>
                <w:sz w:val="24"/>
              </w:rPr>
              <w:t>575/2013.</w:t>
            </w:r>
          </w:p>
          <w:p w14:paraId="26D9FFCE" w14:textId="4577953E"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0D3A4E36" w14:textId="77777777" w:rsidTr="000B66BC">
        <w:trPr>
          <w:trHeight w:val="71"/>
        </w:trPr>
        <w:tc>
          <w:tcPr>
            <w:tcW w:w="1559" w:type="dxa"/>
            <w:shd w:val="clear" w:color="auto" w:fill="FFFFFF"/>
          </w:tcPr>
          <w:p w14:paraId="28ED62BB" w14:textId="034112B8"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{0200;0040}</w:t>
            </w:r>
          </w:p>
        </w:tc>
        <w:tc>
          <w:tcPr>
            <w:tcW w:w="7406" w:type="dxa"/>
            <w:shd w:val="clear" w:color="auto" w:fill="FFFFFF"/>
          </w:tcPr>
          <w:p w14:paraId="35F16AA3" w14:textId="7277D856" w:rsidR="00F4754B" w:rsidRPr="00B817D9" w:rsidRDefault="00920DD9"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ekspozycje zabezpieczone hipotekami na nieruchomościach mieszkalnych – kwota ekspozycji ważonej ryzykiem – ekspozycje według metody IRB</w:t>
            </w:r>
          </w:p>
          <w:p w14:paraId="17020383" w14:textId="2D4652F7"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 wobec przedsiębiorstw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lub ekspozycje detaliczne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d) pkt (ii) rozporządzenia (UE) nr</w:t>
            </w:r>
            <w:r w:rsidR="00B817D9" w:rsidRPr="00B817D9">
              <w:rPr>
                <w:rFonts w:ascii="Times New Roman" w:hAnsi="Times New Roman"/>
                <w:sz w:val="24"/>
              </w:rPr>
              <w:t> </w:t>
            </w:r>
            <w:r w:rsidRPr="00B817D9">
              <w:rPr>
                <w:rFonts w:ascii="Times New Roman" w:hAnsi="Times New Roman"/>
                <w:sz w:val="24"/>
              </w:rPr>
              <w:t>575/2013, jeżeli takie ekspozycje są zabezpieczone hipotekami na nieruchomościach mieszkalnych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434D72CF" w14:textId="69DE627D" w:rsidR="004250C0"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18D713C4" w14:textId="77777777" w:rsidTr="000B66BC">
        <w:trPr>
          <w:trHeight w:val="71"/>
        </w:trPr>
        <w:tc>
          <w:tcPr>
            <w:tcW w:w="1559" w:type="dxa"/>
            <w:shd w:val="clear" w:color="auto" w:fill="FFFFFF"/>
          </w:tcPr>
          <w:p w14:paraId="10D72D62" w14:textId="3E23070F"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{0210;0010}</w:t>
            </w:r>
          </w:p>
        </w:tc>
        <w:tc>
          <w:tcPr>
            <w:tcW w:w="7406" w:type="dxa"/>
            <w:shd w:val="clear" w:color="auto" w:fill="FFFFFF"/>
          </w:tcPr>
          <w:p w14:paraId="29F4D22F" w14:textId="0AFB67CF"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detaliczne – wartość ekspozycji wskaźnika dźwigni – ekspozycje według metody standardowej</w:t>
            </w:r>
          </w:p>
          <w:p w14:paraId="1C50F3CF" w14:textId="68B0FDE8"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Wartość ekspozycji wskaźnika dźwigni dla aktywów stanowiących ekspozycje detaliczne według metody standardowej, objęte art.</w:t>
            </w:r>
            <w:r w:rsidR="00B817D9" w:rsidRPr="00B817D9">
              <w:rPr>
                <w:rFonts w:ascii="Times New Roman" w:hAnsi="Times New Roman"/>
                <w:sz w:val="24"/>
              </w:rPr>
              <w:t> </w:t>
            </w:r>
            <w:r w:rsidRPr="00B817D9">
              <w:rPr>
                <w:rFonts w:ascii="Times New Roman" w:hAnsi="Times New Roman"/>
                <w:sz w:val="24"/>
              </w:rPr>
              <w:t>123 rozporządzenia (UE) nr</w:t>
            </w:r>
            <w:r w:rsidR="00B817D9" w:rsidRPr="00B817D9">
              <w:rPr>
                <w:rFonts w:ascii="Times New Roman" w:hAnsi="Times New Roman"/>
                <w:sz w:val="24"/>
              </w:rPr>
              <w:t> </w:t>
            </w:r>
            <w:r w:rsidRPr="00B817D9">
              <w:rPr>
                <w:rFonts w:ascii="Times New Roman" w:hAnsi="Times New Roman"/>
                <w:sz w:val="24"/>
              </w:rPr>
              <w:t>575/2013.</w:t>
            </w:r>
          </w:p>
          <w:p w14:paraId="467BDCEC" w14:textId="6EA2353B" w:rsidR="002509B1"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29E5C489" w14:textId="77777777" w:rsidTr="000B66BC">
        <w:trPr>
          <w:trHeight w:val="71"/>
        </w:trPr>
        <w:tc>
          <w:tcPr>
            <w:tcW w:w="1559" w:type="dxa"/>
            <w:shd w:val="clear" w:color="auto" w:fill="FFFFFF"/>
          </w:tcPr>
          <w:p w14:paraId="0E1E0B5E" w14:textId="70EE57D3"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lastRenderedPageBreak/>
              <w:t>{0210;0020}</w:t>
            </w:r>
          </w:p>
        </w:tc>
        <w:tc>
          <w:tcPr>
            <w:tcW w:w="7406" w:type="dxa"/>
            <w:shd w:val="clear" w:color="auto" w:fill="FFFFFF"/>
          </w:tcPr>
          <w:p w14:paraId="31A6BB5D" w14:textId="22D5A816"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detaliczne – wartość ekspozycji wskaźnika dźwigni – ekspozycje według metody IRB</w:t>
            </w:r>
          </w:p>
          <w:p w14:paraId="2F48B2D6" w14:textId="653F2A2B"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detaliczne według metody IRB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d) pkt (i), (iii) i (iv) rozporządzenia (UE) nr</w:t>
            </w:r>
            <w:r w:rsidR="00B817D9" w:rsidRPr="00B817D9">
              <w:rPr>
                <w:rFonts w:ascii="Times New Roman" w:hAnsi="Times New Roman"/>
                <w:sz w:val="24"/>
              </w:rPr>
              <w:t> </w:t>
            </w:r>
            <w:r w:rsidRPr="00B817D9">
              <w:rPr>
                <w:rFonts w:ascii="Times New Roman" w:hAnsi="Times New Roman"/>
                <w:sz w:val="24"/>
              </w:rPr>
              <w:t>575/2013, jeżeli takie ekspozycje nie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3E24EEB1" w14:textId="56A3B7C1" w:rsidR="002509B1" w:rsidRPr="00B817D9" w:rsidRDefault="009C4E79"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IRB, których dotyczy niewykonanie zobowiązania.</w:t>
            </w:r>
          </w:p>
        </w:tc>
      </w:tr>
      <w:tr w:rsidR="002A54FF" w:rsidRPr="00B817D9" w14:paraId="2494CE48" w14:textId="77777777" w:rsidTr="000B66BC">
        <w:trPr>
          <w:trHeight w:val="71"/>
        </w:trPr>
        <w:tc>
          <w:tcPr>
            <w:tcW w:w="1559" w:type="dxa"/>
            <w:shd w:val="clear" w:color="auto" w:fill="FFFFFF"/>
          </w:tcPr>
          <w:p w14:paraId="6EB17324" w14:textId="46932817"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{0210;0030}</w:t>
            </w:r>
          </w:p>
        </w:tc>
        <w:tc>
          <w:tcPr>
            <w:tcW w:w="7406" w:type="dxa"/>
            <w:shd w:val="clear" w:color="auto" w:fill="FFFFFF"/>
          </w:tcPr>
          <w:p w14:paraId="289B0ED6" w14:textId="3F634A78"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detaliczne – kwota ekspozycji ważonej ryzykiem – ekspozycje według metody standardowej</w:t>
            </w:r>
          </w:p>
          <w:p w14:paraId="078B0D1B" w14:textId="145433F7"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detaliczne według metody standardowej, objęte art.</w:t>
            </w:r>
            <w:r w:rsidR="00B817D9" w:rsidRPr="00B817D9">
              <w:rPr>
                <w:rFonts w:ascii="Times New Roman" w:hAnsi="Times New Roman"/>
                <w:sz w:val="24"/>
              </w:rPr>
              <w:t> </w:t>
            </w:r>
            <w:r w:rsidRPr="00B817D9">
              <w:rPr>
                <w:rFonts w:ascii="Times New Roman" w:hAnsi="Times New Roman"/>
                <w:sz w:val="24"/>
              </w:rPr>
              <w:t>123 rozporządzenia (UE) nr</w:t>
            </w:r>
            <w:r w:rsidR="00B817D9" w:rsidRPr="00B817D9">
              <w:rPr>
                <w:rFonts w:ascii="Times New Roman" w:hAnsi="Times New Roman"/>
                <w:sz w:val="24"/>
              </w:rPr>
              <w:t> </w:t>
            </w:r>
            <w:r w:rsidRPr="00B817D9">
              <w:rPr>
                <w:rFonts w:ascii="Times New Roman" w:hAnsi="Times New Roman"/>
                <w:sz w:val="24"/>
              </w:rPr>
              <w:t>575/2013.</w:t>
            </w:r>
          </w:p>
          <w:p w14:paraId="32C0AC0A" w14:textId="1D4C9F45"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076433D7" w14:textId="77777777" w:rsidTr="000B66BC">
        <w:trPr>
          <w:trHeight w:val="71"/>
        </w:trPr>
        <w:tc>
          <w:tcPr>
            <w:tcW w:w="1559" w:type="dxa"/>
            <w:shd w:val="clear" w:color="auto" w:fill="FFFFFF"/>
          </w:tcPr>
          <w:p w14:paraId="7BBA610A" w14:textId="7E09D9E4"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{0210;0040}</w:t>
            </w:r>
          </w:p>
        </w:tc>
        <w:tc>
          <w:tcPr>
            <w:tcW w:w="7406" w:type="dxa"/>
            <w:shd w:val="clear" w:color="auto" w:fill="FFFFFF"/>
          </w:tcPr>
          <w:p w14:paraId="3829C860" w14:textId="1B4CBE35"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detaliczne – kwota ekspozycji ważonej ryzykiem – ekspozycje według metody IRB</w:t>
            </w:r>
          </w:p>
          <w:p w14:paraId="270C61EF" w14:textId="4F6DCCE9"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detaliczne według metody IRB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d) pkt (i), (iii) i (iv) rozporządzenia (UE) nr</w:t>
            </w:r>
            <w:r w:rsidR="00B817D9" w:rsidRPr="00B817D9">
              <w:rPr>
                <w:rFonts w:ascii="Times New Roman" w:hAnsi="Times New Roman"/>
                <w:sz w:val="24"/>
              </w:rPr>
              <w:t> </w:t>
            </w:r>
            <w:r w:rsidRPr="00B817D9">
              <w:rPr>
                <w:rFonts w:ascii="Times New Roman" w:hAnsi="Times New Roman"/>
                <w:sz w:val="24"/>
              </w:rPr>
              <w:t>575/2013, jeżeli takie ekspozycje nie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46460615" w14:textId="10D30752" w:rsidR="009C4E79"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0AAA69A4" w14:textId="77777777" w:rsidTr="000B66BC">
        <w:trPr>
          <w:trHeight w:val="71"/>
        </w:trPr>
        <w:tc>
          <w:tcPr>
            <w:tcW w:w="1559" w:type="dxa"/>
            <w:shd w:val="clear" w:color="auto" w:fill="FFFFFF"/>
          </w:tcPr>
          <w:p w14:paraId="2A257B46" w14:textId="42862C04"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{0220;0010}</w:t>
            </w:r>
          </w:p>
        </w:tc>
        <w:tc>
          <w:tcPr>
            <w:tcW w:w="7406" w:type="dxa"/>
            <w:shd w:val="clear" w:color="auto" w:fill="FFFFFF"/>
          </w:tcPr>
          <w:p w14:paraId="7AF700CC" w14:textId="77777777" w:rsidR="00F4754B" w:rsidRPr="00B817D9" w:rsidRDefault="00920DD9" w:rsidP="000B66BC">
            <w:pPr>
              <w:pStyle w:val="BodyText1"/>
              <w:spacing w:after="240" w:line="240" w:lineRule="auto"/>
              <w:rPr>
                <w:rFonts w:ascii="Times New Roman" w:hAnsi="Times New Roman"/>
                <w:b/>
                <w:sz w:val="24"/>
                <w:szCs w:val="24"/>
              </w:rPr>
            </w:pPr>
            <w:r w:rsidRPr="00B817D9">
              <w:rPr>
                <w:rFonts w:ascii="Times New Roman" w:hAnsi="Times New Roman"/>
                <w:b/>
                <w:sz w:val="24"/>
              </w:rPr>
              <w:t>W tym: ekspozycje detaliczne wobec MŚP – wartość ekspozycji wskaźnika dźwigni – ekspozycje według metody standardowej</w:t>
            </w:r>
          </w:p>
          <w:p w14:paraId="30054418" w14:textId="07186F68" w:rsidR="00BB5324"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detaliczne według metody standardowej wobec małych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śre</w:t>
            </w:r>
            <w:r w:rsidRPr="00B817D9">
              <w:rPr>
                <w:rFonts w:ascii="Times New Roman" w:hAnsi="Times New Roman"/>
                <w:sz w:val="24"/>
              </w:rPr>
              <w:t>dnich przedsiębiorstw, objęte art.</w:t>
            </w:r>
            <w:r w:rsidR="00B817D9" w:rsidRPr="00B817D9">
              <w:rPr>
                <w:rFonts w:ascii="Times New Roman" w:hAnsi="Times New Roman"/>
                <w:sz w:val="24"/>
              </w:rPr>
              <w:t> </w:t>
            </w:r>
            <w:r w:rsidRPr="00B817D9">
              <w:rPr>
                <w:rFonts w:ascii="Times New Roman" w:hAnsi="Times New Roman"/>
                <w:sz w:val="24"/>
              </w:rPr>
              <w:t>123 rozporządzenia (UE) nr</w:t>
            </w:r>
            <w:r w:rsidR="00B817D9" w:rsidRPr="00B817D9">
              <w:rPr>
                <w:rFonts w:ascii="Times New Roman" w:hAnsi="Times New Roman"/>
                <w:sz w:val="24"/>
              </w:rPr>
              <w:t> </w:t>
            </w:r>
            <w:r w:rsidRPr="00B817D9">
              <w:rPr>
                <w:rFonts w:ascii="Times New Roman" w:hAnsi="Times New Roman"/>
                <w:sz w:val="24"/>
              </w:rPr>
              <w:t>575/2013.</w:t>
            </w:r>
          </w:p>
          <w:p w14:paraId="55120FDB" w14:textId="4277A5D4" w:rsidR="004B653A" w:rsidRPr="00B817D9" w:rsidRDefault="004B653A"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Do celów tej komórki instytucje stosują termin „małe lub średnie przedsiębiorstwo”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def</w:t>
            </w:r>
            <w:r w:rsidRPr="00B817D9">
              <w:rPr>
                <w:rFonts w:ascii="Times New Roman" w:hAnsi="Times New Roman"/>
                <w:sz w:val="24"/>
              </w:rPr>
              <w:t>inicją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501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w:t>
            </w:r>
          </w:p>
          <w:p w14:paraId="4231C6F4" w14:textId="7E0CACE5" w:rsidR="002509B1" w:rsidRPr="00B817D9" w:rsidRDefault="00086A8A"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7C0D9518" w14:textId="77777777" w:rsidTr="000B66BC">
        <w:trPr>
          <w:trHeight w:val="71"/>
        </w:trPr>
        <w:tc>
          <w:tcPr>
            <w:tcW w:w="1559" w:type="dxa"/>
            <w:shd w:val="clear" w:color="auto" w:fill="FFFFFF"/>
          </w:tcPr>
          <w:p w14:paraId="46A37ABD" w14:textId="2C88404B"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lastRenderedPageBreak/>
              <w:t>{0220;0020}</w:t>
            </w:r>
          </w:p>
        </w:tc>
        <w:tc>
          <w:tcPr>
            <w:tcW w:w="7406" w:type="dxa"/>
            <w:shd w:val="clear" w:color="auto" w:fill="FFFFFF"/>
          </w:tcPr>
          <w:p w14:paraId="08A88D6A" w14:textId="77777777" w:rsidR="00F4754B" w:rsidRPr="00B817D9" w:rsidRDefault="00920DD9"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ekspozycje detaliczne wobec MŚP – wartość ekspozycji wskaźnika dźwigni – ekspozycje według metody IRB</w:t>
            </w:r>
          </w:p>
          <w:p w14:paraId="781E0C73" w14:textId="6B583C87"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detaliczne według metody IRB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d) pkt (i), (iii) i (iv) rozporządzenia (UE) nr</w:t>
            </w:r>
            <w:r w:rsidR="00B817D9" w:rsidRPr="00B817D9">
              <w:rPr>
                <w:rFonts w:ascii="Times New Roman" w:hAnsi="Times New Roman"/>
                <w:sz w:val="24"/>
              </w:rPr>
              <w:t> </w:t>
            </w:r>
            <w:r w:rsidRPr="00B817D9">
              <w:rPr>
                <w:rFonts w:ascii="Times New Roman" w:hAnsi="Times New Roman"/>
                <w:sz w:val="24"/>
              </w:rPr>
              <w:t>575/2013, jeżeli takie ekspozycje są ekspozycjami wobec małych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śre</w:t>
            </w:r>
            <w:r w:rsidRPr="00B817D9">
              <w:rPr>
                <w:rFonts w:ascii="Times New Roman" w:hAnsi="Times New Roman"/>
                <w:sz w:val="24"/>
              </w:rPr>
              <w:t>dnich przedsiębiorstw</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 xml:space="preserv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33D07FA1" w14:textId="33CFD25B" w:rsidR="004B653A" w:rsidRPr="00B817D9" w:rsidRDefault="004B653A" w:rsidP="000B66BC">
            <w:pPr>
              <w:pStyle w:val="BodyText1"/>
              <w:spacing w:after="240" w:line="240" w:lineRule="auto"/>
              <w:rPr>
                <w:rFonts w:ascii="Times New Roman" w:hAnsi="Times New Roman"/>
                <w:bCs/>
                <w:sz w:val="24"/>
                <w:szCs w:val="24"/>
              </w:rPr>
            </w:pPr>
            <w:r w:rsidRPr="00B817D9">
              <w:rPr>
                <w:rFonts w:ascii="Times New Roman" w:hAnsi="Times New Roman"/>
                <w:sz w:val="24"/>
              </w:rPr>
              <w:t>Do celów tej komórki instytucje stosują termin „małe lub średnie przedsiębiorstwo”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def</w:t>
            </w:r>
            <w:r w:rsidRPr="00B817D9">
              <w:rPr>
                <w:rFonts w:ascii="Times New Roman" w:hAnsi="Times New Roman"/>
                <w:sz w:val="24"/>
              </w:rPr>
              <w:t>inicją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501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w:t>
            </w:r>
          </w:p>
          <w:p w14:paraId="04884D64" w14:textId="407FECC5" w:rsidR="002509B1" w:rsidRPr="00B817D9" w:rsidDel="00EC6E42"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7A8F06D1" w14:textId="77777777" w:rsidTr="000B66BC">
        <w:trPr>
          <w:trHeight w:val="71"/>
        </w:trPr>
        <w:tc>
          <w:tcPr>
            <w:tcW w:w="1559" w:type="dxa"/>
            <w:shd w:val="clear" w:color="auto" w:fill="FFFFFF"/>
          </w:tcPr>
          <w:p w14:paraId="301DBA86" w14:textId="0C22B553"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{0220;0030}</w:t>
            </w:r>
          </w:p>
        </w:tc>
        <w:tc>
          <w:tcPr>
            <w:tcW w:w="7406" w:type="dxa"/>
            <w:shd w:val="clear" w:color="auto" w:fill="FFFFFF"/>
          </w:tcPr>
          <w:p w14:paraId="54B8F22A" w14:textId="1D4B13D9" w:rsidR="002509B1" w:rsidRPr="00B817D9" w:rsidRDefault="00920DD9"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ekspozycje detaliczne wobec MŚP – kwota ekspozycji ważonej ryzykiem – ekspozycje według metody standardowej</w:t>
            </w:r>
          </w:p>
          <w:p w14:paraId="6A3FD743" w14:textId="259959DC" w:rsidR="00BB5324"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detaliczne według metody standardowej wobec małych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śre</w:t>
            </w:r>
            <w:r w:rsidRPr="00B817D9">
              <w:rPr>
                <w:rFonts w:ascii="Times New Roman" w:hAnsi="Times New Roman"/>
                <w:sz w:val="24"/>
              </w:rPr>
              <w:t>dnich przedsiębiorstw, objęte art.</w:t>
            </w:r>
            <w:r w:rsidR="00B817D9" w:rsidRPr="00B817D9">
              <w:rPr>
                <w:rFonts w:ascii="Times New Roman" w:hAnsi="Times New Roman"/>
                <w:sz w:val="24"/>
              </w:rPr>
              <w:t> </w:t>
            </w:r>
            <w:r w:rsidRPr="00B817D9">
              <w:rPr>
                <w:rFonts w:ascii="Times New Roman" w:hAnsi="Times New Roman"/>
                <w:sz w:val="24"/>
              </w:rPr>
              <w:t>123 rozporządzenia (UE) nr</w:t>
            </w:r>
            <w:r w:rsidR="00B817D9" w:rsidRPr="00B817D9">
              <w:rPr>
                <w:rFonts w:ascii="Times New Roman" w:hAnsi="Times New Roman"/>
                <w:sz w:val="24"/>
              </w:rPr>
              <w:t> </w:t>
            </w:r>
            <w:r w:rsidRPr="00B817D9">
              <w:rPr>
                <w:rFonts w:ascii="Times New Roman" w:hAnsi="Times New Roman"/>
                <w:sz w:val="24"/>
              </w:rPr>
              <w:t>575/2013.</w:t>
            </w:r>
          </w:p>
          <w:p w14:paraId="550AD4D7" w14:textId="6011B36F" w:rsidR="00086A8A" w:rsidRPr="00B817D9" w:rsidRDefault="004B653A" w:rsidP="000B66BC">
            <w:pPr>
              <w:pStyle w:val="BodyText1"/>
              <w:spacing w:after="240" w:line="240" w:lineRule="auto"/>
              <w:rPr>
                <w:rFonts w:ascii="Times New Roman" w:hAnsi="Times New Roman"/>
                <w:bCs/>
                <w:sz w:val="24"/>
                <w:szCs w:val="24"/>
              </w:rPr>
            </w:pPr>
            <w:r w:rsidRPr="00B817D9">
              <w:rPr>
                <w:rFonts w:ascii="Times New Roman" w:hAnsi="Times New Roman"/>
                <w:sz w:val="24"/>
              </w:rPr>
              <w:t>Do celów tej komórki instytucje stosują termin „małe lub średnie przedsiębiorstwo”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def</w:t>
            </w:r>
            <w:r w:rsidRPr="00B817D9">
              <w:rPr>
                <w:rFonts w:ascii="Times New Roman" w:hAnsi="Times New Roman"/>
                <w:sz w:val="24"/>
              </w:rPr>
              <w:t>inicją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501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w:t>
            </w:r>
          </w:p>
          <w:p w14:paraId="1B6B32F8" w14:textId="14F01D19"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0291C492" w14:textId="77777777" w:rsidTr="000B66BC">
        <w:trPr>
          <w:trHeight w:val="71"/>
        </w:trPr>
        <w:tc>
          <w:tcPr>
            <w:tcW w:w="1559" w:type="dxa"/>
            <w:shd w:val="clear" w:color="auto" w:fill="FFFFFF"/>
          </w:tcPr>
          <w:p w14:paraId="5C057F01" w14:textId="210C1BD0"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{0220;0040}</w:t>
            </w:r>
          </w:p>
        </w:tc>
        <w:tc>
          <w:tcPr>
            <w:tcW w:w="7406" w:type="dxa"/>
            <w:shd w:val="clear" w:color="auto" w:fill="FFFFFF"/>
          </w:tcPr>
          <w:p w14:paraId="59E62599" w14:textId="6893B06F" w:rsidR="00F4754B" w:rsidRPr="00B817D9" w:rsidRDefault="00920DD9"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ekspozycje detaliczne wobec MŚP – kwota ekspozycji ważonej ryzykiem – ekspozycje według metody IRB</w:t>
            </w:r>
          </w:p>
          <w:p w14:paraId="4092922E" w14:textId="5AAEE0B0" w:rsidR="00BB5324"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detaliczne według metody IRB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d) pkt (i), (iii) i (iv) rozporządzenia (UE) nr</w:t>
            </w:r>
            <w:r w:rsidR="00B817D9" w:rsidRPr="00B817D9">
              <w:rPr>
                <w:rFonts w:ascii="Times New Roman" w:hAnsi="Times New Roman"/>
                <w:sz w:val="24"/>
              </w:rPr>
              <w:t> </w:t>
            </w:r>
            <w:r w:rsidRPr="00B817D9">
              <w:rPr>
                <w:rFonts w:ascii="Times New Roman" w:hAnsi="Times New Roman"/>
                <w:sz w:val="24"/>
              </w:rPr>
              <w:t>575/2013, jeżeli takie ekspozycje są ekspozycjami wobec małych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śre</w:t>
            </w:r>
            <w:r w:rsidRPr="00B817D9">
              <w:rPr>
                <w:rFonts w:ascii="Times New Roman" w:hAnsi="Times New Roman"/>
                <w:sz w:val="24"/>
              </w:rPr>
              <w:t>dnich przedsiębiorstw</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 xml:space="preserv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51FEC3D4" w14:textId="3CE3CD5F" w:rsidR="004B653A" w:rsidRPr="00B817D9" w:rsidRDefault="004B653A"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Do celów tej komórki instytucje stosują termin „małe lub średnie przedsiębiorstwo”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def</w:t>
            </w:r>
            <w:r w:rsidRPr="00B817D9">
              <w:rPr>
                <w:rFonts w:ascii="Times New Roman" w:hAnsi="Times New Roman"/>
                <w:sz w:val="24"/>
              </w:rPr>
              <w:t>inicją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501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w:t>
            </w:r>
          </w:p>
          <w:p w14:paraId="15449195" w14:textId="06E7A313" w:rsidR="009C4E79"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22E0911F" w14:textId="77777777" w:rsidTr="000B66BC">
        <w:trPr>
          <w:trHeight w:val="71"/>
        </w:trPr>
        <w:tc>
          <w:tcPr>
            <w:tcW w:w="1559" w:type="dxa"/>
            <w:shd w:val="clear" w:color="auto" w:fill="FFFFFF"/>
          </w:tcPr>
          <w:p w14:paraId="2D2EB46F" w14:textId="6C0287C1"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{0230;0010}</w:t>
            </w:r>
          </w:p>
        </w:tc>
        <w:tc>
          <w:tcPr>
            <w:tcW w:w="7406" w:type="dxa"/>
            <w:shd w:val="clear" w:color="auto" w:fill="FFFFFF"/>
          </w:tcPr>
          <w:p w14:paraId="73CCE449" w14:textId="775C5A74"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 wartość ekspozycji wskaźnika dźwigni – ekspozycje według metody standardowej</w:t>
            </w:r>
          </w:p>
          <w:p w14:paraId="4918C822" w14:textId="3B8F07B4" w:rsidR="00F4754B" w:rsidRPr="00B817D9" w:rsidRDefault="00F4754B" w:rsidP="000B66BC">
            <w:pPr>
              <w:pStyle w:val="BodyText1"/>
              <w:spacing w:after="240" w:line="240" w:lineRule="auto"/>
              <w:rPr>
                <w:rFonts w:ascii="Times New Roman" w:hAnsi="Times New Roman"/>
                <w:sz w:val="24"/>
                <w:szCs w:val="24"/>
              </w:rPr>
            </w:pPr>
            <w:r w:rsidRPr="00B817D9">
              <w:rPr>
                <w:rFonts w:ascii="Times New Roman" w:hAnsi="Times New Roman"/>
                <w:sz w:val="24"/>
              </w:rPr>
              <w:t>Jest to suma komórek {0240;0010} i {0250;0010}.</w:t>
            </w:r>
          </w:p>
          <w:p w14:paraId="0E0CFA07" w14:textId="6CB7CDAF"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12DD0BFF" w14:textId="77777777" w:rsidTr="000B66BC">
        <w:trPr>
          <w:trHeight w:val="71"/>
        </w:trPr>
        <w:tc>
          <w:tcPr>
            <w:tcW w:w="1559" w:type="dxa"/>
            <w:shd w:val="clear" w:color="auto" w:fill="FFFFFF"/>
          </w:tcPr>
          <w:p w14:paraId="1C2C1D0B" w14:textId="454CE528"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{0230;0020}</w:t>
            </w:r>
          </w:p>
        </w:tc>
        <w:tc>
          <w:tcPr>
            <w:tcW w:w="7406" w:type="dxa"/>
            <w:shd w:val="clear" w:color="auto" w:fill="FFFFFF"/>
          </w:tcPr>
          <w:p w14:paraId="6362ED1C" w14:textId="48ECB6BB"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 wartość ekspozycji wskaźnika dźwigni – ekspozycje według metody IRB</w:t>
            </w:r>
          </w:p>
          <w:p w14:paraId="3219ACC2" w14:textId="4FF4B098"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{0240;0020} i {0250;0020}.</w:t>
            </w:r>
          </w:p>
          <w:p w14:paraId="4E2F97BD" w14:textId="057F742F"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1AA657CC" w14:textId="77777777" w:rsidTr="000B66BC">
        <w:trPr>
          <w:trHeight w:val="71"/>
        </w:trPr>
        <w:tc>
          <w:tcPr>
            <w:tcW w:w="1559" w:type="dxa"/>
            <w:shd w:val="clear" w:color="auto" w:fill="FFFFFF"/>
          </w:tcPr>
          <w:p w14:paraId="4522036A" w14:textId="1BC453BF"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{0230;0030}</w:t>
            </w:r>
          </w:p>
        </w:tc>
        <w:tc>
          <w:tcPr>
            <w:tcW w:w="7406" w:type="dxa"/>
            <w:shd w:val="clear" w:color="auto" w:fill="FFFFFF"/>
          </w:tcPr>
          <w:p w14:paraId="44E9C1D0" w14:textId="47E5782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 kwota ekspozycji ważonej ryzykiem – ekspozycje według metody standardowej</w:t>
            </w:r>
          </w:p>
          <w:p w14:paraId="327E6857" w14:textId="7197BBC3"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{0240;0030} i {0250;0030}.</w:t>
            </w:r>
          </w:p>
          <w:p w14:paraId="730ED24A" w14:textId="291AC1EA"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0C1B4712" w14:textId="77777777" w:rsidTr="000B66BC">
        <w:trPr>
          <w:trHeight w:val="71"/>
        </w:trPr>
        <w:tc>
          <w:tcPr>
            <w:tcW w:w="1559" w:type="dxa"/>
            <w:shd w:val="clear" w:color="auto" w:fill="FFFFFF"/>
          </w:tcPr>
          <w:p w14:paraId="7A82EAC6" w14:textId="7CFA6BC1"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{0230;0040}</w:t>
            </w:r>
          </w:p>
        </w:tc>
        <w:tc>
          <w:tcPr>
            <w:tcW w:w="7406" w:type="dxa"/>
            <w:shd w:val="clear" w:color="auto" w:fill="FFFFFF"/>
          </w:tcPr>
          <w:p w14:paraId="0B759A94" w14:textId="0A1DE6FC"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 kwota ekspozycji ważonej ryzykiem – ekspozycje według metody IRB</w:t>
            </w:r>
          </w:p>
          <w:p w14:paraId="1D494120" w14:textId="6A9832C6"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{0240;0040} i {0250;0040}.</w:t>
            </w:r>
          </w:p>
          <w:p w14:paraId="1F4A9AA4" w14:textId="53069870"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5D9FF2D4" w14:textId="77777777" w:rsidTr="000B66BC">
        <w:trPr>
          <w:trHeight w:val="71"/>
        </w:trPr>
        <w:tc>
          <w:tcPr>
            <w:tcW w:w="1559" w:type="dxa"/>
            <w:shd w:val="clear" w:color="auto" w:fill="FFFFFF"/>
          </w:tcPr>
          <w:p w14:paraId="0D822794" w14:textId="69E077EE"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{0240;0010}</w:t>
            </w:r>
          </w:p>
        </w:tc>
        <w:tc>
          <w:tcPr>
            <w:tcW w:w="7406" w:type="dxa"/>
            <w:shd w:val="clear" w:color="auto" w:fill="FFFFFF"/>
          </w:tcPr>
          <w:p w14:paraId="6E90DECA" w14:textId="3F12F294"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finansowych – wartość ekspozycji wskaźnika dźwigni – ekspozycje według metody standardowej</w:t>
            </w:r>
          </w:p>
          <w:p w14:paraId="7CAB4F9A" w14:textId="7060FB38" w:rsidR="008A5C87"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 wobec przedsiębiorstw finansowych, objęte art.</w:t>
            </w:r>
            <w:r w:rsidR="00B817D9" w:rsidRPr="00B817D9">
              <w:rPr>
                <w:rFonts w:ascii="Times New Roman" w:hAnsi="Times New Roman"/>
                <w:sz w:val="24"/>
              </w:rPr>
              <w:t> </w:t>
            </w:r>
            <w:r w:rsidRPr="00B817D9">
              <w:rPr>
                <w:rFonts w:ascii="Times New Roman" w:hAnsi="Times New Roman"/>
                <w:sz w:val="24"/>
              </w:rPr>
              <w:t>122 rozporządzenia (UE) nr</w:t>
            </w:r>
            <w:r w:rsidR="00B817D9" w:rsidRPr="00B817D9">
              <w:rPr>
                <w:rFonts w:ascii="Times New Roman" w:hAnsi="Times New Roman"/>
                <w:sz w:val="24"/>
              </w:rPr>
              <w:t> </w:t>
            </w:r>
            <w:r w:rsidRPr="00B817D9">
              <w:rPr>
                <w:rFonts w:ascii="Times New Roman" w:hAnsi="Times New Roman"/>
                <w:sz w:val="24"/>
              </w:rPr>
              <w:t>575/2013.</w:t>
            </w:r>
          </w:p>
          <w:p w14:paraId="48ACEE9F" w14:textId="6245BCC7"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Na potrzeby sprawozdawczości we wzorze LR4 przedsiębiorstwa finansowe oznaczają regulowane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regulowane przedsiębiorstwa inne niż instytucje,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 w {0180;0010}, których podstawową działalnością jest nabywanie pakietów akcji lub wykonywanie co najmniej jednego spośród rodzajów działalności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 xml:space="preserve">ączniku I do </w:t>
            </w:r>
            <w:r w:rsidRPr="00B817D9">
              <w:rPr>
                <w:rFonts w:ascii="Times New Roman" w:hAnsi="Times New Roman"/>
                <w:sz w:val="24"/>
              </w:rPr>
              <w:lastRenderedPageBreak/>
              <w:t>dyrektywy 2013/36/UE,</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tak</w:t>
            </w:r>
            <w:r w:rsidRPr="00B817D9">
              <w:rPr>
                <w:rFonts w:ascii="Times New Roman" w:hAnsi="Times New Roman"/>
                <w:sz w:val="24"/>
              </w:rPr>
              <w:t>że przedsiębiorstwa zdefiniowane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27 rozporządzenia (UE) nr</w:t>
            </w:r>
            <w:r w:rsidR="00B817D9" w:rsidRPr="00B817D9">
              <w:rPr>
                <w:rFonts w:ascii="Times New Roman" w:hAnsi="Times New Roman"/>
                <w:sz w:val="24"/>
              </w:rPr>
              <w:t> </w:t>
            </w:r>
            <w:r w:rsidRPr="00B817D9">
              <w:rPr>
                <w:rFonts w:ascii="Times New Roman" w:hAnsi="Times New Roman"/>
                <w:sz w:val="24"/>
              </w:rPr>
              <w:t>575/2013, inne niż instytucje,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 xml:space="preserve">rych mowa w {0180;0010}. </w:t>
            </w:r>
          </w:p>
          <w:p w14:paraId="34C751F5" w14:textId="603A8953"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3897B4FD" w14:textId="77777777" w:rsidTr="000B66BC">
        <w:trPr>
          <w:trHeight w:val="71"/>
        </w:trPr>
        <w:tc>
          <w:tcPr>
            <w:tcW w:w="1559" w:type="dxa"/>
            <w:shd w:val="clear" w:color="auto" w:fill="FFFFFF"/>
          </w:tcPr>
          <w:p w14:paraId="5C338C26" w14:textId="03E777A5"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{0240;0020}</w:t>
            </w:r>
          </w:p>
        </w:tc>
        <w:tc>
          <w:tcPr>
            <w:tcW w:w="7406" w:type="dxa"/>
            <w:shd w:val="clear" w:color="auto" w:fill="FFFFFF"/>
          </w:tcPr>
          <w:p w14:paraId="4094858A"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finansowych – wartość ekspozycji wskaźnika dźwigni – ekspozycje według metody IRB</w:t>
            </w:r>
          </w:p>
          <w:p w14:paraId="058EB000" w14:textId="41F80F43" w:rsidR="008A5C87"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IRB wobec przedsiębiorstw finansowych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jeżeli takie ekspozycje nie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07B8C8CE" w14:textId="741AC737"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Na potrzeby sprawozdawczości we wzorze LR4 przedsiębiorstwa finansowe oznaczają regulowane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regulowane przedsiębiorstwa inne niż instytucje,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 w {0180;0010}, których podstawową działalnością jest nabywanie pakietów akcji lub wykonywanie co najmniej jednego spośród rodzajów działalności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 do dyrektywy 2013/36/UE,</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tak</w:t>
            </w:r>
            <w:r w:rsidRPr="00B817D9">
              <w:rPr>
                <w:rFonts w:ascii="Times New Roman" w:hAnsi="Times New Roman"/>
                <w:sz w:val="24"/>
              </w:rPr>
              <w:t>że przedsiębiorstwa zdefiniowane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27 rozporządzenia (UE) nr</w:t>
            </w:r>
            <w:r w:rsidR="00B817D9" w:rsidRPr="00B817D9">
              <w:rPr>
                <w:rFonts w:ascii="Times New Roman" w:hAnsi="Times New Roman"/>
                <w:sz w:val="24"/>
              </w:rPr>
              <w:t> </w:t>
            </w:r>
            <w:r w:rsidRPr="00B817D9">
              <w:rPr>
                <w:rFonts w:ascii="Times New Roman" w:hAnsi="Times New Roman"/>
                <w:sz w:val="24"/>
              </w:rPr>
              <w:t>575/2013, inne niż instytucje,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 xml:space="preserve">rych mowa w {0180;0010}. </w:t>
            </w:r>
          </w:p>
          <w:p w14:paraId="51655C6D" w14:textId="31474CF4" w:rsidR="009C4E79"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7E381EEB" w14:textId="77777777" w:rsidTr="000B66BC">
        <w:trPr>
          <w:trHeight w:val="71"/>
        </w:trPr>
        <w:tc>
          <w:tcPr>
            <w:tcW w:w="1559" w:type="dxa"/>
            <w:shd w:val="clear" w:color="auto" w:fill="FFFFFF"/>
          </w:tcPr>
          <w:p w14:paraId="2F071D43" w14:textId="5D1456FE"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{0240;0030}</w:t>
            </w:r>
          </w:p>
        </w:tc>
        <w:tc>
          <w:tcPr>
            <w:tcW w:w="7406" w:type="dxa"/>
            <w:shd w:val="clear" w:color="auto" w:fill="FFFFFF"/>
          </w:tcPr>
          <w:p w14:paraId="3EFA5487" w14:textId="705A4662"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finansowych – kwota ekspozycji ważonej ryzykiem – ekspozycje według metody standardowej</w:t>
            </w:r>
          </w:p>
          <w:p w14:paraId="08FF6980" w14:textId="6DD05C67" w:rsidR="008A5C87"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standardowej wobec przedsiębiorstw finansowych, objęte art.</w:t>
            </w:r>
            <w:r w:rsidR="00B817D9" w:rsidRPr="00B817D9">
              <w:rPr>
                <w:rFonts w:ascii="Times New Roman" w:hAnsi="Times New Roman"/>
                <w:sz w:val="24"/>
              </w:rPr>
              <w:t> </w:t>
            </w:r>
            <w:r w:rsidRPr="00B817D9">
              <w:rPr>
                <w:rFonts w:ascii="Times New Roman" w:hAnsi="Times New Roman"/>
                <w:sz w:val="24"/>
              </w:rPr>
              <w:t>122 rozporządzenia (UE) nr</w:t>
            </w:r>
            <w:r w:rsidR="00B817D9" w:rsidRPr="00B817D9">
              <w:rPr>
                <w:rFonts w:ascii="Times New Roman" w:hAnsi="Times New Roman"/>
                <w:sz w:val="24"/>
              </w:rPr>
              <w:t> </w:t>
            </w:r>
            <w:r w:rsidRPr="00B817D9">
              <w:rPr>
                <w:rFonts w:ascii="Times New Roman" w:hAnsi="Times New Roman"/>
                <w:sz w:val="24"/>
              </w:rPr>
              <w:t>575/2013.</w:t>
            </w:r>
          </w:p>
          <w:p w14:paraId="4DE325F6" w14:textId="2EFFDEDE"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Na potrzeby sprawozdawczości we wzorze LR4 przedsiębiorstwa finansowe oznaczają regulowane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regulowane przedsiębiorstwa inne niż instytucje,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 w {0180;0010}, których podstawową działalnością jest nabywanie pakietów akcji lub wykonywanie co najmniej jednego spośród rodzajów działalności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 do dyrektywy 2013/36/UE,</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tak</w:t>
            </w:r>
            <w:r w:rsidRPr="00B817D9">
              <w:rPr>
                <w:rFonts w:ascii="Times New Roman" w:hAnsi="Times New Roman"/>
                <w:sz w:val="24"/>
              </w:rPr>
              <w:t>że przedsiębiorstwa zdefiniowane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27 rozporządzenia (UE) nr</w:t>
            </w:r>
            <w:r w:rsidR="00B817D9" w:rsidRPr="00B817D9">
              <w:rPr>
                <w:rFonts w:ascii="Times New Roman" w:hAnsi="Times New Roman"/>
                <w:sz w:val="24"/>
              </w:rPr>
              <w:t> </w:t>
            </w:r>
            <w:r w:rsidRPr="00B817D9">
              <w:rPr>
                <w:rFonts w:ascii="Times New Roman" w:hAnsi="Times New Roman"/>
                <w:sz w:val="24"/>
              </w:rPr>
              <w:t>575/2013, inne niż instytucje,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 xml:space="preserve">rych mowa w {0180;0010}. </w:t>
            </w:r>
          </w:p>
          <w:p w14:paraId="6B38D45F" w14:textId="591397CC"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7E13A8B7" w14:textId="77777777" w:rsidTr="000B66BC">
        <w:trPr>
          <w:trHeight w:val="71"/>
        </w:trPr>
        <w:tc>
          <w:tcPr>
            <w:tcW w:w="1559" w:type="dxa"/>
            <w:shd w:val="clear" w:color="auto" w:fill="FFFFFF"/>
          </w:tcPr>
          <w:p w14:paraId="4A07187A" w14:textId="59A5E646"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{0240;0040}</w:t>
            </w:r>
          </w:p>
        </w:tc>
        <w:tc>
          <w:tcPr>
            <w:tcW w:w="7406" w:type="dxa"/>
            <w:shd w:val="clear" w:color="auto" w:fill="FFFFFF"/>
          </w:tcPr>
          <w:p w14:paraId="0D42EAF2" w14:textId="4C7FF3CE"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finansowych – kwota ekspozycji ważonej ryzykiem – ekspozycje według metody IRB</w:t>
            </w:r>
          </w:p>
          <w:p w14:paraId="2E63CDE0" w14:textId="62BA59C9" w:rsidR="008A5C87"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Kwota ekspozycji ważonej ryzykiem dla aktywów stanowiących ekspozycje według metody IRB wobec przedsiębiorstw finansowych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jeżeli takie ekspozycje nie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717CB3D1" w14:textId="6E931B09"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Na potrzeby sprawozdawczości we wzorze LR4 przedsiębiorstwa finansowe oznaczają regulowane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regulowane przedsiębiorstwa inne niż instytucje,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 w {0180;0010}, których podstawową działalnością jest nabywanie pakietów akcji lub wykonywanie co najmniej jednego spośród rodzajów działalności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zał</w:t>
            </w:r>
            <w:r w:rsidRPr="00B817D9">
              <w:rPr>
                <w:rFonts w:ascii="Times New Roman" w:hAnsi="Times New Roman"/>
                <w:sz w:val="24"/>
              </w:rPr>
              <w:t>ączniku I do dyrektywy 2013/36/UE,</w:t>
            </w:r>
            <w:r w:rsidR="00B817D9" w:rsidRPr="00B817D9">
              <w:rPr>
                <w:rFonts w:ascii="Times New Roman" w:hAnsi="Times New Roman"/>
                <w:sz w:val="24"/>
              </w:rPr>
              <w:t xml:space="preserve"> a</w:t>
            </w:r>
            <w:r w:rsidR="00B817D9">
              <w:rPr>
                <w:rFonts w:ascii="Times New Roman" w:hAnsi="Times New Roman"/>
                <w:sz w:val="24"/>
              </w:rPr>
              <w:t> </w:t>
            </w:r>
            <w:r w:rsidR="00B817D9" w:rsidRPr="00B817D9">
              <w:rPr>
                <w:rFonts w:ascii="Times New Roman" w:hAnsi="Times New Roman"/>
                <w:sz w:val="24"/>
              </w:rPr>
              <w:t>tak</w:t>
            </w:r>
            <w:r w:rsidRPr="00B817D9">
              <w:rPr>
                <w:rFonts w:ascii="Times New Roman" w:hAnsi="Times New Roman"/>
                <w:sz w:val="24"/>
              </w:rPr>
              <w:t>że przedsiębiorstwa zdefiniowane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4 ust.</w:t>
            </w:r>
            <w:r w:rsidR="00B817D9" w:rsidRPr="00B817D9">
              <w:rPr>
                <w:rFonts w:ascii="Times New Roman" w:hAnsi="Times New Roman"/>
                <w:sz w:val="24"/>
              </w:rPr>
              <w:t> </w:t>
            </w:r>
            <w:r w:rsidRPr="00B817D9">
              <w:rPr>
                <w:rFonts w:ascii="Times New Roman" w:hAnsi="Times New Roman"/>
                <w:sz w:val="24"/>
              </w:rPr>
              <w:t>1 pkt</w:t>
            </w:r>
            <w:r w:rsidR="00B817D9" w:rsidRPr="00B817D9">
              <w:rPr>
                <w:rFonts w:ascii="Times New Roman" w:hAnsi="Times New Roman"/>
                <w:sz w:val="24"/>
              </w:rPr>
              <w:t> </w:t>
            </w:r>
            <w:r w:rsidRPr="00B817D9">
              <w:rPr>
                <w:rFonts w:ascii="Times New Roman" w:hAnsi="Times New Roman"/>
                <w:sz w:val="24"/>
              </w:rPr>
              <w:t>27 rozporządzenia (UE) nr</w:t>
            </w:r>
            <w:r w:rsidR="00B817D9" w:rsidRPr="00B817D9">
              <w:rPr>
                <w:rFonts w:ascii="Times New Roman" w:hAnsi="Times New Roman"/>
                <w:sz w:val="24"/>
              </w:rPr>
              <w:t> </w:t>
            </w:r>
            <w:r w:rsidRPr="00B817D9">
              <w:rPr>
                <w:rFonts w:ascii="Times New Roman" w:hAnsi="Times New Roman"/>
                <w:sz w:val="24"/>
              </w:rPr>
              <w:t>575/2013, inne niż instytucje,</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któ</w:t>
            </w:r>
            <w:r w:rsidRPr="00B817D9">
              <w:rPr>
                <w:rFonts w:ascii="Times New Roman" w:hAnsi="Times New Roman"/>
                <w:sz w:val="24"/>
              </w:rPr>
              <w:t>rych mowa w {0180;0010}.</w:t>
            </w:r>
          </w:p>
          <w:p w14:paraId="46CE9414" w14:textId="0957AC2F"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1D9775DE" w14:textId="77777777" w:rsidTr="000B66BC">
        <w:trPr>
          <w:trHeight w:val="71"/>
        </w:trPr>
        <w:tc>
          <w:tcPr>
            <w:tcW w:w="1559" w:type="dxa"/>
            <w:shd w:val="clear" w:color="auto" w:fill="FFFFFF"/>
          </w:tcPr>
          <w:p w14:paraId="533C726F" w14:textId="47DF85C9"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{0250;0010}</w:t>
            </w:r>
          </w:p>
        </w:tc>
        <w:tc>
          <w:tcPr>
            <w:tcW w:w="7406" w:type="dxa"/>
            <w:shd w:val="clear" w:color="auto" w:fill="FFFFFF"/>
          </w:tcPr>
          <w:p w14:paraId="50FEF333" w14:textId="081F5C0C" w:rsidR="00F4754B" w:rsidRPr="00B817D9" w:rsidRDefault="00CD1DA1"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niefinansowych – wartość ekspozycji wskaźnika dźwigni – ekspozycje według metody standardowej</w:t>
            </w:r>
          </w:p>
          <w:p w14:paraId="79750DB3" w14:textId="2B426C0D" w:rsidR="00FA71D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 wobec przedsiębiorstw niefinansowych, objęte art.</w:t>
            </w:r>
            <w:r w:rsidR="00B817D9" w:rsidRPr="00B817D9">
              <w:rPr>
                <w:rFonts w:ascii="Times New Roman" w:hAnsi="Times New Roman"/>
                <w:sz w:val="24"/>
              </w:rPr>
              <w:t> </w:t>
            </w:r>
            <w:r w:rsidRPr="00B817D9">
              <w:rPr>
                <w:rFonts w:ascii="Times New Roman" w:hAnsi="Times New Roman"/>
                <w:sz w:val="24"/>
              </w:rPr>
              <w:t>122 rozporządzenia (UE) nr</w:t>
            </w:r>
            <w:r w:rsidR="00B817D9" w:rsidRPr="00B817D9">
              <w:rPr>
                <w:rFonts w:ascii="Times New Roman" w:hAnsi="Times New Roman"/>
                <w:sz w:val="24"/>
              </w:rPr>
              <w:t> </w:t>
            </w:r>
            <w:r w:rsidRPr="00B817D9">
              <w:rPr>
                <w:rFonts w:ascii="Times New Roman" w:hAnsi="Times New Roman"/>
                <w:sz w:val="24"/>
              </w:rPr>
              <w:t>575/2013.</w:t>
            </w:r>
          </w:p>
          <w:p w14:paraId="1A9B7F32" w14:textId="42798EB9"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{0260;0010} i {0270;0010}.</w:t>
            </w:r>
          </w:p>
          <w:p w14:paraId="69CDF75C" w14:textId="4C652EE4"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47291240" w14:textId="77777777" w:rsidTr="000B66BC">
        <w:trPr>
          <w:trHeight w:val="71"/>
        </w:trPr>
        <w:tc>
          <w:tcPr>
            <w:tcW w:w="1559" w:type="dxa"/>
            <w:shd w:val="clear" w:color="auto" w:fill="FFFFFF"/>
          </w:tcPr>
          <w:p w14:paraId="56917946" w14:textId="5C766701"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{0250;0020}</w:t>
            </w:r>
          </w:p>
        </w:tc>
        <w:tc>
          <w:tcPr>
            <w:tcW w:w="7406" w:type="dxa"/>
            <w:shd w:val="clear" w:color="auto" w:fill="FFFFFF"/>
          </w:tcPr>
          <w:p w14:paraId="25E6520A" w14:textId="3CB20ED1" w:rsidR="00F4754B" w:rsidRPr="00B817D9" w:rsidRDefault="00CD1DA1"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niefinansowych – wartość ekspozycji wskaźnika dźwigni – ekspozycje według metody IRB</w:t>
            </w:r>
          </w:p>
          <w:p w14:paraId="1615C090" w14:textId="7C6FFDD5" w:rsidR="00BE6AC4"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IRB wobec przedsiębiorstw niefinansowych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jeżeli takie ekspozycje nie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5B891D71" w14:textId="425CD8A7"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{0260;0020} i {0270;0020}.</w:t>
            </w:r>
          </w:p>
          <w:p w14:paraId="4A94BD25" w14:textId="7EF0446C" w:rsidR="009C4E79"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1569EBB2" w14:textId="77777777" w:rsidTr="000B66BC">
        <w:trPr>
          <w:trHeight w:val="71"/>
        </w:trPr>
        <w:tc>
          <w:tcPr>
            <w:tcW w:w="1559" w:type="dxa"/>
            <w:shd w:val="clear" w:color="auto" w:fill="FFFFFF"/>
          </w:tcPr>
          <w:p w14:paraId="0DAE0AFA" w14:textId="313B4AD3"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{0250;0030}</w:t>
            </w:r>
          </w:p>
        </w:tc>
        <w:tc>
          <w:tcPr>
            <w:tcW w:w="7406" w:type="dxa"/>
            <w:shd w:val="clear" w:color="auto" w:fill="FFFFFF"/>
          </w:tcPr>
          <w:p w14:paraId="68E7D79C" w14:textId="33D6CD05" w:rsidR="00F4754B" w:rsidRPr="00B817D9" w:rsidRDefault="00CD1DA1"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niefinansowych – kwota ekspozycji ważonej ryzykiem – ekspozycje według metody standardowej</w:t>
            </w:r>
          </w:p>
          <w:p w14:paraId="49E48609" w14:textId="08B25172"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Kwota ekspozycji ważonej ryzykiem dla aktywów stanowiących ekspozycje według metody standardowej wobec przedsiębiorstw niefinansowych, objęte art.</w:t>
            </w:r>
            <w:r w:rsidR="00B817D9" w:rsidRPr="00B817D9">
              <w:rPr>
                <w:rFonts w:ascii="Times New Roman" w:hAnsi="Times New Roman"/>
                <w:sz w:val="24"/>
              </w:rPr>
              <w:t> </w:t>
            </w:r>
            <w:r w:rsidRPr="00B817D9">
              <w:rPr>
                <w:rFonts w:ascii="Times New Roman" w:hAnsi="Times New Roman"/>
                <w:sz w:val="24"/>
              </w:rPr>
              <w:t>122 rozporządzenia (UE) nr</w:t>
            </w:r>
            <w:r w:rsidR="00B817D9" w:rsidRPr="00B817D9">
              <w:rPr>
                <w:rFonts w:ascii="Times New Roman" w:hAnsi="Times New Roman"/>
                <w:sz w:val="24"/>
              </w:rPr>
              <w:t> </w:t>
            </w:r>
            <w:r w:rsidRPr="00B817D9">
              <w:rPr>
                <w:rFonts w:ascii="Times New Roman" w:hAnsi="Times New Roman"/>
                <w:sz w:val="24"/>
              </w:rPr>
              <w:t>575/2013.</w:t>
            </w:r>
          </w:p>
          <w:p w14:paraId="11F55E3D" w14:textId="2D4C4F8A"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{0260;0030} i {0270;0030}.</w:t>
            </w:r>
          </w:p>
          <w:p w14:paraId="153E6308" w14:textId="63943BB8" w:rsidR="002509B1" w:rsidRPr="00B817D9" w:rsidDel="00504CFF"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727F0C04" w14:textId="77777777" w:rsidTr="000B66BC">
        <w:trPr>
          <w:trHeight w:val="71"/>
        </w:trPr>
        <w:tc>
          <w:tcPr>
            <w:tcW w:w="1559" w:type="dxa"/>
            <w:shd w:val="clear" w:color="auto" w:fill="FFFFFF"/>
          </w:tcPr>
          <w:p w14:paraId="1B83D193" w14:textId="50708684"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lastRenderedPageBreak/>
              <w:t>{0250;0040}</w:t>
            </w:r>
          </w:p>
        </w:tc>
        <w:tc>
          <w:tcPr>
            <w:tcW w:w="7406" w:type="dxa"/>
            <w:shd w:val="clear" w:color="auto" w:fill="FFFFFF"/>
          </w:tcPr>
          <w:p w14:paraId="2B0BB9F0" w14:textId="041EA5D1" w:rsidR="00F4754B" w:rsidRPr="00B817D9" w:rsidRDefault="00CD1DA1"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przedsiębiorstw niefinansowych – kwota ekspozycji ważonej ryzykiem – ekspozycje według metody IRB</w:t>
            </w:r>
          </w:p>
          <w:p w14:paraId="4DD9CC03" w14:textId="7829333F" w:rsidR="00FA71D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 wobec przedsiębiorstw niefinansowych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jeżeli takie ekspozycje nie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072F6C8B" w14:textId="7E5B0C7D"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Jest to suma komórek {0260;0040} i {0270;0040}.</w:t>
            </w:r>
          </w:p>
          <w:p w14:paraId="2B36DB12" w14:textId="48954611" w:rsidR="002509B1" w:rsidRPr="00B817D9" w:rsidDel="00504CFF"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49E58870" w14:textId="77777777" w:rsidTr="000B66BC">
        <w:trPr>
          <w:trHeight w:val="71"/>
        </w:trPr>
        <w:tc>
          <w:tcPr>
            <w:tcW w:w="1559" w:type="dxa"/>
            <w:shd w:val="clear" w:color="auto" w:fill="FFFFFF"/>
          </w:tcPr>
          <w:p w14:paraId="0EFCE46D" w14:textId="44349019"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{0260;0010}</w:t>
            </w:r>
          </w:p>
        </w:tc>
        <w:tc>
          <w:tcPr>
            <w:tcW w:w="7406" w:type="dxa"/>
            <w:shd w:val="clear" w:color="auto" w:fill="FFFFFF"/>
          </w:tcPr>
          <w:p w14:paraId="16D3DD87" w14:textId="77777777" w:rsidR="00F4754B" w:rsidRPr="00B817D9" w:rsidRDefault="00F4754B"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wobec MŚP – wartość ekspozycji wskaźnika dźwigni – ekspozycje według metody standardowej</w:t>
            </w:r>
          </w:p>
          <w:p w14:paraId="1237A324" w14:textId="28E38802"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 wobec przedsiębiorstw będących małymi lub średnimi przedsiębiorstwami, objęte art.</w:t>
            </w:r>
            <w:r w:rsidR="00B817D9" w:rsidRPr="00B817D9">
              <w:rPr>
                <w:rFonts w:ascii="Times New Roman" w:hAnsi="Times New Roman"/>
                <w:sz w:val="24"/>
              </w:rPr>
              <w:t> </w:t>
            </w:r>
            <w:r w:rsidRPr="00B817D9">
              <w:rPr>
                <w:rFonts w:ascii="Times New Roman" w:hAnsi="Times New Roman"/>
                <w:sz w:val="24"/>
              </w:rPr>
              <w:t>122 rozporządzenia (UE) nr</w:t>
            </w:r>
            <w:r w:rsidR="00B817D9" w:rsidRPr="00B817D9">
              <w:rPr>
                <w:rFonts w:ascii="Times New Roman" w:hAnsi="Times New Roman"/>
                <w:sz w:val="24"/>
              </w:rPr>
              <w:t> </w:t>
            </w:r>
            <w:r w:rsidRPr="00B817D9">
              <w:rPr>
                <w:rFonts w:ascii="Times New Roman" w:hAnsi="Times New Roman"/>
                <w:sz w:val="24"/>
              </w:rPr>
              <w:t>575/2013.</w:t>
            </w:r>
          </w:p>
          <w:p w14:paraId="5E29251B" w14:textId="561E971D" w:rsidR="00086A8A" w:rsidRPr="00B817D9" w:rsidRDefault="004F39F5" w:rsidP="000B66BC">
            <w:pPr>
              <w:pStyle w:val="BodyText1"/>
              <w:spacing w:after="240" w:line="240" w:lineRule="auto"/>
              <w:rPr>
                <w:rFonts w:ascii="Times New Roman" w:hAnsi="Times New Roman"/>
                <w:bCs/>
                <w:sz w:val="24"/>
                <w:szCs w:val="24"/>
              </w:rPr>
            </w:pPr>
            <w:r w:rsidRPr="00B817D9">
              <w:rPr>
                <w:rFonts w:ascii="Times New Roman" w:hAnsi="Times New Roman"/>
                <w:sz w:val="24"/>
              </w:rPr>
              <w:t>Do celów tej komórki instytucje stosują termin „małe lub średnie przedsiębiorstwo”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def</w:t>
            </w:r>
            <w:r w:rsidRPr="00B817D9">
              <w:rPr>
                <w:rFonts w:ascii="Times New Roman" w:hAnsi="Times New Roman"/>
                <w:sz w:val="24"/>
              </w:rPr>
              <w:t>inicją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501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w:t>
            </w:r>
          </w:p>
          <w:p w14:paraId="5FAEA464" w14:textId="7B77BBC5" w:rsidR="002509B1"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13131DF5" w14:textId="77777777" w:rsidTr="000B66BC">
        <w:trPr>
          <w:trHeight w:val="71"/>
        </w:trPr>
        <w:tc>
          <w:tcPr>
            <w:tcW w:w="1559" w:type="dxa"/>
            <w:shd w:val="clear" w:color="auto" w:fill="FFFFFF"/>
          </w:tcPr>
          <w:p w14:paraId="05B0110D" w14:textId="74C0B697"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{0260;0020}</w:t>
            </w:r>
          </w:p>
        </w:tc>
        <w:tc>
          <w:tcPr>
            <w:tcW w:w="7406" w:type="dxa"/>
            <w:shd w:val="clear" w:color="auto" w:fill="FFFFFF"/>
          </w:tcPr>
          <w:p w14:paraId="4E8AC377"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MŚP – wartość ekspozycji wskaźnika dźwigni – ekspozycje według metody IRB</w:t>
            </w:r>
          </w:p>
          <w:p w14:paraId="16526905" w14:textId="74D9B559" w:rsidR="00FA71D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IRB wobec przedsiębiorstw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jeżeli takie ekspozycje są ekspozycjami wobec małych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śre</w:t>
            </w:r>
            <w:r w:rsidRPr="00B817D9">
              <w:rPr>
                <w:rFonts w:ascii="Times New Roman" w:hAnsi="Times New Roman"/>
                <w:sz w:val="24"/>
              </w:rPr>
              <w:t>dnich przedsiębiorstw</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 xml:space="preserv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729394D8" w14:textId="13ECEA2A" w:rsidR="002509B1" w:rsidRPr="00B817D9" w:rsidRDefault="004F39F5"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lastRenderedPageBreak/>
              <w:t>Do celów tej komórki instytucje stosują termin „małe lub średnie przedsiębiorstwo”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def</w:t>
            </w:r>
            <w:r w:rsidRPr="00B817D9">
              <w:rPr>
                <w:rFonts w:ascii="Times New Roman" w:hAnsi="Times New Roman"/>
                <w:sz w:val="24"/>
              </w:rPr>
              <w:t>inicją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501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w:t>
            </w:r>
          </w:p>
          <w:p w14:paraId="542463BD" w14:textId="165C2619" w:rsidR="009C4E79" w:rsidRPr="00B817D9" w:rsidDel="00504CFF"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50044CAE" w14:textId="77777777" w:rsidTr="000B66BC">
        <w:trPr>
          <w:trHeight w:val="71"/>
        </w:trPr>
        <w:tc>
          <w:tcPr>
            <w:tcW w:w="1559" w:type="dxa"/>
            <w:shd w:val="clear" w:color="auto" w:fill="FFFFFF"/>
          </w:tcPr>
          <w:p w14:paraId="5F7100BE" w14:textId="2ACB4AD4"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{0260;0030}</w:t>
            </w:r>
          </w:p>
        </w:tc>
        <w:tc>
          <w:tcPr>
            <w:tcW w:w="7406" w:type="dxa"/>
            <w:shd w:val="clear" w:color="auto" w:fill="FFFFFF"/>
          </w:tcPr>
          <w:p w14:paraId="0D365078" w14:textId="540263EE"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MŚP – kwota ekspozycji ważonej ryzykiem – ekspozycje według metody standardowej</w:t>
            </w:r>
          </w:p>
          <w:p w14:paraId="47967B81" w14:textId="487B7D01" w:rsidR="00FA71D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standardowej wobec przedsiębiorstw będących małymi lub średnimi przedsiębiorstwami, objęte art.</w:t>
            </w:r>
            <w:r w:rsidR="00B817D9" w:rsidRPr="00B817D9">
              <w:rPr>
                <w:rFonts w:ascii="Times New Roman" w:hAnsi="Times New Roman"/>
                <w:sz w:val="24"/>
              </w:rPr>
              <w:t> </w:t>
            </w:r>
            <w:r w:rsidRPr="00B817D9">
              <w:rPr>
                <w:rFonts w:ascii="Times New Roman" w:hAnsi="Times New Roman"/>
                <w:sz w:val="24"/>
              </w:rPr>
              <w:t>122 rozporządzenia (UE) nr</w:t>
            </w:r>
            <w:r w:rsidR="00B817D9" w:rsidRPr="00B817D9">
              <w:rPr>
                <w:rFonts w:ascii="Times New Roman" w:hAnsi="Times New Roman"/>
                <w:sz w:val="24"/>
              </w:rPr>
              <w:t> </w:t>
            </w:r>
            <w:r w:rsidRPr="00B817D9">
              <w:rPr>
                <w:rFonts w:ascii="Times New Roman" w:hAnsi="Times New Roman"/>
                <w:sz w:val="24"/>
              </w:rPr>
              <w:t>575/2013.</w:t>
            </w:r>
          </w:p>
          <w:p w14:paraId="4E35047C" w14:textId="04B65373" w:rsidR="00086A8A" w:rsidRPr="00B817D9" w:rsidRDefault="004F39F5" w:rsidP="000B66BC">
            <w:pPr>
              <w:pStyle w:val="BodyText1"/>
              <w:spacing w:after="240" w:line="240" w:lineRule="auto"/>
              <w:rPr>
                <w:rFonts w:ascii="Times New Roman" w:hAnsi="Times New Roman"/>
                <w:bCs/>
                <w:sz w:val="24"/>
                <w:szCs w:val="24"/>
              </w:rPr>
            </w:pPr>
            <w:r w:rsidRPr="00B817D9">
              <w:rPr>
                <w:rFonts w:ascii="Times New Roman" w:hAnsi="Times New Roman"/>
                <w:sz w:val="24"/>
              </w:rPr>
              <w:t>Do celów tej komórki instytucje stosują termin „małe lub średnie przedsiębiorstwo”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def</w:t>
            </w:r>
            <w:r w:rsidRPr="00B817D9">
              <w:rPr>
                <w:rFonts w:ascii="Times New Roman" w:hAnsi="Times New Roman"/>
                <w:sz w:val="24"/>
              </w:rPr>
              <w:t>inicją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501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w:t>
            </w:r>
          </w:p>
          <w:p w14:paraId="2B25463D" w14:textId="56CC7FBB"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3DB0057C" w14:textId="77777777" w:rsidTr="000B66BC">
        <w:trPr>
          <w:trHeight w:val="71"/>
        </w:trPr>
        <w:tc>
          <w:tcPr>
            <w:tcW w:w="1559" w:type="dxa"/>
            <w:shd w:val="clear" w:color="auto" w:fill="FFFFFF"/>
          </w:tcPr>
          <w:p w14:paraId="4FFE83BB" w14:textId="4650F9FB"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{0260;0040}</w:t>
            </w:r>
          </w:p>
        </w:tc>
        <w:tc>
          <w:tcPr>
            <w:tcW w:w="7406" w:type="dxa"/>
            <w:shd w:val="clear" w:color="auto" w:fill="FFFFFF"/>
          </w:tcPr>
          <w:p w14:paraId="72107293" w14:textId="2B92F95D"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wobec MŚP – kwota ekspozycji ważonej ryzykiem – ekspozycje według metody IRB</w:t>
            </w:r>
          </w:p>
          <w:p w14:paraId="61D071ED" w14:textId="577F957E" w:rsidR="00FA71D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IRB wobec przedsiębiorstw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jeżeli takie ekspozycje są ekspozycjami wobec małych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śre</w:t>
            </w:r>
            <w:r w:rsidRPr="00B817D9">
              <w:rPr>
                <w:rFonts w:ascii="Times New Roman" w:hAnsi="Times New Roman"/>
                <w:sz w:val="24"/>
              </w:rPr>
              <w:t>dnich przedsiębiorstw</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 xml:space="preserv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p>
          <w:p w14:paraId="14AF8756" w14:textId="0B014398" w:rsidR="004F39F5" w:rsidRPr="00B817D9" w:rsidRDefault="004F39F5" w:rsidP="000B66BC">
            <w:pPr>
              <w:pStyle w:val="BodyText1"/>
              <w:spacing w:after="240" w:line="240" w:lineRule="auto"/>
              <w:rPr>
                <w:rFonts w:ascii="Times New Roman" w:hAnsi="Times New Roman"/>
                <w:bCs/>
                <w:sz w:val="24"/>
                <w:szCs w:val="24"/>
              </w:rPr>
            </w:pPr>
            <w:r w:rsidRPr="00B817D9">
              <w:rPr>
                <w:rFonts w:ascii="Times New Roman" w:hAnsi="Times New Roman"/>
                <w:sz w:val="24"/>
              </w:rPr>
              <w:t>Do celów tej komórki instytucje stosują termin „małe lub średnie przedsiębiorstwo”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def</w:t>
            </w:r>
            <w:r w:rsidRPr="00B817D9">
              <w:rPr>
                <w:rFonts w:ascii="Times New Roman" w:hAnsi="Times New Roman"/>
                <w:sz w:val="24"/>
              </w:rPr>
              <w:t>inicją</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501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b) rozporządzenia (UE) nr</w:t>
            </w:r>
            <w:r w:rsidR="00B817D9" w:rsidRPr="00B817D9">
              <w:rPr>
                <w:rFonts w:ascii="Times New Roman" w:hAnsi="Times New Roman"/>
                <w:sz w:val="24"/>
              </w:rPr>
              <w:t> </w:t>
            </w:r>
            <w:r w:rsidRPr="00B817D9">
              <w:rPr>
                <w:rFonts w:ascii="Times New Roman" w:hAnsi="Times New Roman"/>
                <w:sz w:val="24"/>
              </w:rPr>
              <w:t>575/2013.</w:t>
            </w:r>
          </w:p>
          <w:p w14:paraId="0EF08F24" w14:textId="18E4DC92"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447B232E" w14:textId="77777777" w:rsidTr="000B66BC">
        <w:trPr>
          <w:trHeight w:val="71"/>
        </w:trPr>
        <w:tc>
          <w:tcPr>
            <w:tcW w:w="1559" w:type="dxa"/>
            <w:shd w:val="clear" w:color="auto" w:fill="FFFFFF"/>
          </w:tcPr>
          <w:p w14:paraId="24CF42BC" w14:textId="0762963E"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{0270;0010}</w:t>
            </w:r>
          </w:p>
        </w:tc>
        <w:tc>
          <w:tcPr>
            <w:tcW w:w="7406" w:type="dxa"/>
            <w:shd w:val="clear" w:color="auto" w:fill="FFFFFF"/>
          </w:tcPr>
          <w:p w14:paraId="368904F3" w14:textId="1EEE993E" w:rsidR="002509B1" w:rsidRPr="00B817D9" w:rsidRDefault="00BE6AC4" w:rsidP="000B66BC">
            <w:pPr>
              <w:pStyle w:val="BodyText1"/>
              <w:spacing w:after="240" w:line="240" w:lineRule="auto"/>
              <w:rPr>
                <w:rFonts w:ascii="Times New Roman" w:hAnsi="Times New Roman"/>
                <w:b/>
                <w:sz w:val="24"/>
                <w:szCs w:val="24"/>
              </w:rPr>
            </w:pPr>
            <w:r w:rsidRPr="00B817D9">
              <w:rPr>
                <w:rFonts w:ascii="Times New Roman" w:hAnsi="Times New Roman"/>
                <w:b/>
                <w:sz w:val="24"/>
              </w:rPr>
              <w:t>Ekspozycje inne niż ekspozycje wobec MŚP – wartość ekspozycji wskaźnika dźwigni – ekspozycje według metody standardowej</w:t>
            </w:r>
          </w:p>
          <w:p w14:paraId="41FBC40B" w14:textId="344E0410"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według metody standardowej wobec przedsiębiorstw, objęte art.</w:t>
            </w:r>
            <w:r w:rsidR="00B817D9" w:rsidRPr="00B817D9">
              <w:rPr>
                <w:rFonts w:ascii="Times New Roman" w:hAnsi="Times New Roman"/>
                <w:sz w:val="24"/>
              </w:rPr>
              <w:t> </w:t>
            </w:r>
            <w:r w:rsidRPr="00B817D9">
              <w:rPr>
                <w:rFonts w:ascii="Times New Roman" w:hAnsi="Times New Roman"/>
                <w:sz w:val="24"/>
              </w:rPr>
              <w:t>122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zgłaszane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órkach {0230;0040} i {0250;0040}.</w:t>
            </w:r>
          </w:p>
          <w:p w14:paraId="01FC3B49" w14:textId="5139686F"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7B64328B" w14:textId="77777777" w:rsidTr="000B66BC">
        <w:trPr>
          <w:trHeight w:val="71"/>
        </w:trPr>
        <w:tc>
          <w:tcPr>
            <w:tcW w:w="1559" w:type="dxa"/>
            <w:shd w:val="clear" w:color="auto" w:fill="FFFFFF"/>
          </w:tcPr>
          <w:p w14:paraId="43017660" w14:textId="3B06C10A"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{0270;0020}</w:t>
            </w:r>
          </w:p>
        </w:tc>
        <w:tc>
          <w:tcPr>
            <w:tcW w:w="7406" w:type="dxa"/>
            <w:shd w:val="clear" w:color="auto" w:fill="FFFFFF"/>
          </w:tcPr>
          <w:p w14:paraId="2A27297A" w14:textId="77777777" w:rsidR="00F4754B" w:rsidRPr="00B817D9" w:rsidRDefault="00BE6AC4"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inne niż ekspozycje wobec MŚP – wartość ekspozycji wskaźnika dźwigni – ekspozycje według metody IRB</w:t>
            </w:r>
          </w:p>
          <w:p w14:paraId="585E711E" w14:textId="7E00C937" w:rsidR="009C4E79"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Wartość ekspozycji wskaźnika dźwigni dla aktywów stanowiących ekspozycje według metody IRB wobec przedsiębiorstw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jeżeli takie ekspozycje nie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 xml:space="preserve"> są zgłaszane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órkach {0230;0040} i {0250;0040}.</w:t>
            </w:r>
          </w:p>
          <w:p w14:paraId="714190FD" w14:textId="58141E55" w:rsidR="009C4E79"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44BE393C" w14:textId="77777777" w:rsidTr="000B66BC">
        <w:trPr>
          <w:trHeight w:val="71"/>
        </w:trPr>
        <w:tc>
          <w:tcPr>
            <w:tcW w:w="1559" w:type="dxa"/>
            <w:shd w:val="clear" w:color="auto" w:fill="FFFFFF"/>
          </w:tcPr>
          <w:p w14:paraId="4DF3E96B" w14:textId="78C7DD34"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{0270;0030}</w:t>
            </w:r>
          </w:p>
        </w:tc>
        <w:tc>
          <w:tcPr>
            <w:tcW w:w="7406" w:type="dxa"/>
            <w:shd w:val="clear" w:color="auto" w:fill="FFFFFF"/>
          </w:tcPr>
          <w:p w14:paraId="214E8F81" w14:textId="267DF9F2" w:rsidR="00F4754B" w:rsidRPr="00B817D9" w:rsidRDefault="00BE6AC4"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inne niż ekspozycje wobec MŚP – kwota ekspozycji ważonej ryzykiem – ekspozycje według metody standardowej</w:t>
            </w:r>
          </w:p>
          <w:p w14:paraId="10BEA73F" w14:textId="4FC177BC"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według metody standardowej wobec przedsiębiorstw, objęte art.</w:t>
            </w:r>
            <w:r w:rsidR="00B817D9" w:rsidRPr="00B817D9">
              <w:rPr>
                <w:rFonts w:ascii="Times New Roman" w:hAnsi="Times New Roman"/>
                <w:sz w:val="24"/>
              </w:rPr>
              <w:t> </w:t>
            </w:r>
            <w:r w:rsidRPr="00B817D9">
              <w:rPr>
                <w:rFonts w:ascii="Times New Roman" w:hAnsi="Times New Roman"/>
                <w:sz w:val="24"/>
              </w:rPr>
              <w:t>122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zgłaszane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órkach {0230;0040} i {0250;0040}.</w:t>
            </w:r>
          </w:p>
          <w:p w14:paraId="3BF86EC4" w14:textId="255E5CDC"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4284B6D9" w14:textId="77777777" w:rsidTr="000B66BC">
        <w:trPr>
          <w:trHeight w:val="71"/>
        </w:trPr>
        <w:tc>
          <w:tcPr>
            <w:tcW w:w="1559" w:type="dxa"/>
            <w:shd w:val="clear" w:color="auto" w:fill="FFFFFF"/>
          </w:tcPr>
          <w:p w14:paraId="50A67914" w14:textId="4063927D"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{0270;0040}</w:t>
            </w:r>
          </w:p>
        </w:tc>
        <w:tc>
          <w:tcPr>
            <w:tcW w:w="7406" w:type="dxa"/>
            <w:shd w:val="clear" w:color="auto" w:fill="FFFFFF"/>
          </w:tcPr>
          <w:p w14:paraId="4D405A64" w14:textId="301D30BA" w:rsidR="002509B1" w:rsidRPr="00B817D9" w:rsidRDefault="00BE6AC4"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inne niż ekspozycje wobec MŚP – kwota ekspozycji ważonej ryzykiem – ekspozycje według metody IRB</w:t>
            </w:r>
          </w:p>
          <w:p w14:paraId="66C72176" w14:textId="50B13AC2" w:rsidR="002509B1" w:rsidRPr="00B817D9" w:rsidRDefault="00F4754B"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Kwota ekspozycji ważonej ryzykiem dla aktywów stanowiących ekspozycje według metody IRB wobec przedsiębiorstw na mocy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c) rozporządzenia (UE) nr</w:t>
            </w:r>
            <w:r w:rsidR="00B817D9" w:rsidRPr="00B817D9">
              <w:rPr>
                <w:rFonts w:ascii="Times New Roman" w:hAnsi="Times New Roman"/>
                <w:sz w:val="24"/>
              </w:rPr>
              <w:t> </w:t>
            </w:r>
            <w:r w:rsidRPr="00B817D9">
              <w:rPr>
                <w:rFonts w:ascii="Times New Roman" w:hAnsi="Times New Roman"/>
                <w:sz w:val="24"/>
              </w:rPr>
              <w:t>575/2013, jeżeli takie ekspozycje nie są zabezpieczone hipotekami na nieruchomościach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199 ust.</w:t>
            </w:r>
            <w:r w:rsidR="00B817D9" w:rsidRPr="00B817D9">
              <w:rPr>
                <w:rFonts w:ascii="Times New Roman" w:hAnsi="Times New Roman"/>
                <w:sz w:val="24"/>
              </w:rPr>
              <w:t> </w:t>
            </w:r>
            <w:r w:rsidRPr="00B817D9">
              <w:rPr>
                <w:rFonts w:ascii="Times New Roman" w:hAnsi="Times New Roman"/>
                <w:sz w:val="24"/>
              </w:rPr>
              <w:t>1 lit.</w:t>
            </w:r>
            <w:r w:rsidR="00B817D9" w:rsidRPr="00B817D9">
              <w:rPr>
                <w:rFonts w:ascii="Times New Roman" w:hAnsi="Times New Roman"/>
                <w:sz w:val="24"/>
              </w:rPr>
              <w:t> </w:t>
            </w:r>
            <w:r w:rsidRPr="00B817D9">
              <w:rPr>
                <w:rFonts w:ascii="Times New Roman" w:hAnsi="Times New Roman"/>
                <w:sz w:val="24"/>
              </w:rPr>
              <w:t>a)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nie</w:t>
            </w:r>
            <w:r w:rsidRPr="00B817D9">
              <w:rPr>
                <w:rFonts w:ascii="Times New Roman" w:hAnsi="Times New Roman"/>
                <w:sz w:val="24"/>
              </w:rPr>
              <w:t xml:space="preserve"> są zgłaszane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kom</w:t>
            </w:r>
            <w:r w:rsidRPr="00B817D9">
              <w:rPr>
                <w:rFonts w:ascii="Times New Roman" w:hAnsi="Times New Roman"/>
                <w:sz w:val="24"/>
              </w:rPr>
              <w:t>órkach {0230;0040} i {0250;0040}.</w:t>
            </w:r>
          </w:p>
          <w:p w14:paraId="56E24BD9" w14:textId="23040902" w:rsidR="009C4E79"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4078E02E" w14:textId="77777777" w:rsidTr="000B66BC">
        <w:trPr>
          <w:trHeight w:val="71"/>
        </w:trPr>
        <w:tc>
          <w:tcPr>
            <w:tcW w:w="1559" w:type="dxa"/>
            <w:shd w:val="clear" w:color="auto" w:fill="FFFFFF"/>
          </w:tcPr>
          <w:p w14:paraId="78678416" w14:textId="11F0757A"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{0280;0010}</w:t>
            </w:r>
          </w:p>
        </w:tc>
        <w:tc>
          <w:tcPr>
            <w:tcW w:w="7406" w:type="dxa"/>
            <w:shd w:val="clear" w:color="auto" w:fill="FFFFFF"/>
          </w:tcPr>
          <w:p w14:paraId="3643375B"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których dotyczy niewykonanie zobowiązania – wartość ekspozycji wskaźnika dźwigni – ekspozycje według metody standardowej</w:t>
            </w:r>
          </w:p>
          <w:p w14:paraId="19F3FE8B" w14:textId="1E5D10AB" w:rsidR="002509B1" w:rsidRPr="00B817D9" w:rsidRDefault="00FC5086"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zgłaszają wartość ekspozycji wskaźnika dźwigni dla aktywów stanowiących ekspozycje według metody standardowej, których dotyczy niewykonanie zobowiązania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są objęte art.</w:t>
            </w:r>
            <w:r w:rsidR="00B817D9" w:rsidRPr="00B817D9">
              <w:rPr>
                <w:rFonts w:ascii="Times New Roman" w:hAnsi="Times New Roman"/>
                <w:sz w:val="24"/>
              </w:rPr>
              <w:t> </w:t>
            </w:r>
            <w:r w:rsidRPr="00B817D9">
              <w:rPr>
                <w:rFonts w:ascii="Times New Roman" w:hAnsi="Times New Roman"/>
                <w:sz w:val="24"/>
              </w:rPr>
              <w:t>127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6208DB18" w14:textId="77777777" w:rsidTr="000B66BC">
        <w:trPr>
          <w:trHeight w:val="71"/>
        </w:trPr>
        <w:tc>
          <w:tcPr>
            <w:tcW w:w="1559" w:type="dxa"/>
            <w:shd w:val="clear" w:color="auto" w:fill="FFFFFF"/>
          </w:tcPr>
          <w:p w14:paraId="783D1BB3" w14:textId="6E8DA484"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{0280;0020}</w:t>
            </w:r>
          </w:p>
        </w:tc>
        <w:tc>
          <w:tcPr>
            <w:tcW w:w="7406" w:type="dxa"/>
            <w:shd w:val="clear" w:color="auto" w:fill="FFFFFF"/>
          </w:tcPr>
          <w:p w14:paraId="5B5C9DCF"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których dotyczy niewykonanie zobowiązania – wartość ekspozycji wskaźnika dźwigni – ekspozycje według metody IRB</w:t>
            </w:r>
          </w:p>
          <w:p w14:paraId="35C502CA" w14:textId="28C546CC" w:rsidR="002509B1" w:rsidRPr="00B817D9" w:rsidRDefault="00FC5086"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Instytucje zgłaszają wartość ekspozycji wskaźnika dźwigni dla aktywów zaliczonych do kategorii ekspozycji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niewykonania zobowiązania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178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3AD252C0" w14:textId="77777777" w:rsidTr="000B66BC">
        <w:trPr>
          <w:trHeight w:val="71"/>
        </w:trPr>
        <w:tc>
          <w:tcPr>
            <w:tcW w:w="1559" w:type="dxa"/>
            <w:shd w:val="clear" w:color="auto" w:fill="FFFFFF"/>
          </w:tcPr>
          <w:p w14:paraId="08CA0E26" w14:textId="78C5E6F9"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{0280;0030}</w:t>
            </w:r>
          </w:p>
        </w:tc>
        <w:tc>
          <w:tcPr>
            <w:tcW w:w="7406" w:type="dxa"/>
            <w:shd w:val="clear" w:color="auto" w:fill="FFFFFF"/>
          </w:tcPr>
          <w:p w14:paraId="327CD6C9" w14:textId="16A698EF" w:rsidR="002509B1"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których dotyczy niewykonanie zobowiązania – kwota ekspozycji ważonej ryzykiem – ekspozycje według metody standardowej</w:t>
            </w:r>
          </w:p>
          <w:p w14:paraId="4ECD736F" w14:textId="7FB61A35" w:rsidR="002509B1" w:rsidRPr="00B817D9" w:rsidRDefault="00FC5086"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zgłaszają kwotę ekspozycji ważonej ryzykiem dla aktywów stanowiących ekspozycje, których dotyczy niewykonanie zobowiązania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w:t>
            </w:r>
            <w:r w:rsidR="00B817D9">
              <w:rPr>
                <w:rFonts w:ascii="Times New Roman" w:hAnsi="Times New Roman"/>
                <w:sz w:val="24"/>
              </w:rPr>
              <w:t> </w:t>
            </w:r>
            <w:r w:rsidR="00B817D9" w:rsidRPr="00B817D9">
              <w:rPr>
                <w:rFonts w:ascii="Times New Roman" w:hAnsi="Times New Roman"/>
                <w:sz w:val="24"/>
              </w:rPr>
              <w:t>zwi</w:t>
            </w:r>
            <w:r w:rsidRPr="00B817D9">
              <w:rPr>
                <w:rFonts w:ascii="Times New Roman" w:hAnsi="Times New Roman"/>
                <w:sz w:val="24"/>
              </w:rPr>
              <w:t>ązku</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tym</w:t>
            </w:r>
            <w:r w:rsidRPr="00B817D9">
              <w:rPr>
                <w:rFonts w:ascii="Times New Roman" w:hAnsi="Times New Roman"/>
                <w:sz w:val="24"/>
              </w:rPr>
              <w:t xml:space="preserve"> są objęte art.</w:t>
            </w:r>
            <w:r w:rsidR="00B817D9" w:rsidRPr="00B817D9">
              <w:rPr>
                <w:rFonts w:ascii="Times New Roman" w:hAnsi="Times New Roman"/>
                <w:sz w:val="24"/>
              </w:rPr>
              <w:t> </w:t>
            </w:r>
            <w:r w:rsidRPr="00B817D9">
              <w:rPr>
                <w:rFonts w:ascii="Times New Roman" w:hAnsi="Times New Roman"/>
                <w:sz w:val="24"/>
              </w:rPr>
              <w:t>127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1E9BD77A" w14:textId="77777777" w:rsidTr="000B66BC">
        <w:trPr>
          <w:trHeight w:val="71"/>
        </w:trPr>
        <w:tc>
          <w:tcPr>
            <w:tcW w:w="1559" w:type="dxa"/>
            <w:shd w:val="clear" w:color="auto" w:fill="FFFFFF"/>
          </w:tcPr>
          <w:p w14:paraId="31BD5908" w14:textId="24179E5F"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{0280;0040}</w:t>
            </w:r>
          </w:p>
        </w:tc>
        <w:tc>
          <w:tcPr>
            <w:tcW w:w="7406" w:type="dxa"/>
            <w:shd w:val="clear" w:color="auto" w:fill="FFFFFF"/>
          </w:tcPr>
          <w:p w14:paraId="480D541C" w14:textId="39237169"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Ekspozycje, których dotyczy niewykonanie zobowiązania – kwota ekspozycji ważonej ryzykiem – ekspozycje według metody IRB</w:t>
            </w:r>
          </w:p>
          <w:p w14:paraId="5EF9576D" w14:textId="17A6932A" w:rsidR="002509B1" w:rsidRPr="00B817D9" w:rsidRDefault="00FC5086"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zgłaszają kwotę ekspozycji ważonej ryzykiem dla aktywów zaliczonych do kategorii ekspozycji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rozporządzenia (UE) nr</w:t>
            </w:r>
            <w:r w:rsidR="00B817D9" w:rsidRPr="00B817D9">
              <w:rPr>
                <w:rFonts w:ascii="Times New Roman" w:hAnsi="Times New Roman"/>
                <w:sz w:val="24"/>
              </w:rPr>
              <w:t> </w:t>
            </w:r>
            <w:r w:rsidRPr="00B817D9">
              <w:rPr>
                <w:rFonts w:ascii="Times New Roman" w:hAnsi="Times New Roman"/>
                <w:sz w:val="24"/>
              </w:rPr>
              <w:t>575/2013</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prz</w:t>
            </w:r>
            <w:r w:rsidRPr="00B817D9">
              <w:rPr>
                <w:rFonts w:ascii="Times New Roman" w:hAnsi="Times New Roman"/>
                <w:sz w:val="24"/>
              </w:rPr>
              <w:t>ypadku niewykonania zobowiązania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178 rozporządzenia (UE) nr</w:t>
            </w:r>
            <w:r w:rsidR="00B817D9" w:rsidRPr="00B817D9">
              <w:rPr>
                <w:rFonts w:ascii="Times New Roman" w:hAnsi="Times New Roman"/>
                <w:sz w:val="24"/>
              </w:rPr>
              <w:t> </w:t>
            </w:r>
            <w:r w:rsidRPr="00B817D9">
              <w:rPr>
                <w:rFonts w:ascii="Times New Roman" w:hAnsi="Times New Roman"/>
                <w:sz w:val="24"/>
              </w:rPr>
              <w:t>575/2013.</w:t>
            </w:r>
          </w:p>
        </w:tc>
      </w:tr>
      <w:tr w:rsidR="002A54FF" w:rsidRPr="00B817D9" w14:paraId="3AEBEAE6" w14:textId="77777777" w:rsidTr="000B66BC">
        <w:trPr>
          <w:trHeight w:val="71"/>
        </w:trPr>
        <w:tc>
          <w:tcPr>
            <w:tcW w:w="1559" w:type="dxa"/>
            <w:shd w:val="clear" w:color="auto" w:fill="FFFFFF"/>
          </w:tcPr>
          <w:p w14:paraId="5BA625DB" w14:textId="374E40DE"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{0290;0010}</w:t>
            </w:r>
          </w:p>
          <w:p w14:paraId="100727CA" w14:textId="77777777" w:rsidR="00F4754B" w:rsidRPr="00B817D9"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Inne ekspozycje – wartość ekspozycji wskaźnika dźwigni – ekspozycje według metody standardowej</w:t>
            </w:r>
          </w:p>
          <w:p w14:paraId="59E2187D" w14:textId="3672D504"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zaliczonych do kategorii ekspozycji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112 lit.</w:t>
            </w:r>
            <w:r w:rsidR="00B817D9" w:rsidRPr="00B817D9">
              <w:rPr>
                <w:rFonts w:ascii="Times New Roman" w:hAnsi="Times New Roman"/>
                <w:sz w:val="24"/>
              </w:rPr>
              <w:t> </w:t>
            </w:r>
            <w:r w:rsidRPr="00B817D9">
              <w:rPr>
                <w:rFonts w:ascii="Times New Roman" w:hAnsi="Times New Roman"/>
                <w:sz w:val="24"/>
              </w:rPr>
              <w:t>k), m), n), o), p) i q) rozporządzenia (UE) nr</w:t>
            </w:r>
            <w:r w:rsidR="00B817D9" w:rsidRPr="00B817D9">
              <w:rPr>
                <w:rFonts w:ascii="Times New Roman" w:hAnsi="Times New Roman"/>
                <w:sz w:val="24"/>
              </w:rPr>
              <w:t> </w:t>
            </w:r>
            <w:r w:rsidRPr="00B817D9">
              <w:rPr>
                <w:rFonts w:ascii="Times New Roman" w:hAnsi="Times New Roman"/>
                <w:sz w:val="24"/>
              </w:rPr>
              <w:t>575/2013.</w:t>
            </w:r>
          </w:p>
          <w:p w14:paraId="243415E4" w14:textId="4152444E" w:rsidR="002509B1" w:rsidRPr="00B817D9" w:rsidRDefault="00482670"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zgłaszają aktywa, które są odliczane od sumy funduszy własnych (np. wartości niematerialne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pra</w:t>
            </w:r>
            <w:r w:rsidRPr="00B817D9">
              <w:rPr>
                <w:rFonts w:ascii="Times New Roman" w:hAnsi="Times New Roman"/>
                <w:sz w:val="24"/>
              </w:rPr>
              <w:t>wne), ale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inn</w:t>
            </w:r>
            <w:r w:rsidRPr="00B817D9">
              <w:rPr>
                <w:rFonts w:ascii="Times New Roman" w:hAnsi="Times New Roman"/>
                <w:sz w:val="24"/>
              </w:rPr>
              <w:t>ym przypadku nie mogą być zaklasyfikowane tutaj, nawet jeśli taka klasyfikacja nie jest wymagana do określenia wymogów</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zak</w:t>
            </w:r>
            <w:r w:rsidRPr="00B817D9">
              <w:rPr>
                <w:rFonts w:ascii="Times New Roman" w:hAnsi="Times New Roman"/>
                <w:sz w:val="24"/>
              </w:rPr>
              <w:t>resie funduszy</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opa</w:t>
            </w:r>
            <w:r w:rsidRPr="00B817D9">
              <w:rPr>
                <w:rFonts w:ascii="Times New Roman" w:hAnsi="Times New Roman"/>
                <w:sz w:val="24"/>
              </w:rPr>
              <w:t>rciu</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ryz</w:t>
            </w:r>
            <w:r w:rsidRPr="00B817D9">
              <w:rPr>
                <w:rFonts w:ascii="Times New Roman" w:hAnsi="Times New Roman"/>
                <w:sz w:val="24"/>
              </w:rPr>
              <w:t>yko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kol</w:t>
            </w:r>
            <w:r w:rsidRPr="00B817D9">
              <w:rPr>
                <w:rFonts w:ascii="Times New Roman" w:hAnsi="Times New Roman"/>
                <w:sz w:val="24"/>
              </w:rPr>
              <w:t>umnach {*;0030} i {*;0040}.</w:t>
            </w:r>
          </w:p>
          <w:p w14:paraId="7B7E64BF" w14:textId="27D9DDDB" w:rsidR="00086A8A"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72E20088" w14:textId="77777777" w:rsidTr="000B66BC">
        <w:trPr>
          <w:trHeight w:val="71"/>
        </w:trPr>
        <w:tc>
          <w:tcPr>
            <w:tcW w:w="1559" w:type="dxa"/>
            <w:shd w:val="clear" w:color="auto" w:fill="FFFFFF"/>
          </w:tcPr>
          <w:p w14:paraId="079F489C" w14:textId="033B0F9E"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{0290;0020}</w:t>
            </w:r>
          </w:p>
        </w:tc>
        <w:tc>
          <w:tcPr>
            <w:tcW w:w="7406" w:type="dxa"/>
            <w:shd w:val="clear" w:color="auto" w:fill="FFFFFF"/>
          </w:tcPr>
          <w:p w14:paraId="04B12DFD" w14:textId="7640F749"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Inne ekspozycje – wartość ekspozycji wskaźnika dźwigni – ekspozycje według metody IRB</w:t>
            </w:r>
          </w:p>
          <w:p w14:paraId="509BE205" w14:textId="17C1B43F" w:rsidR="00482670"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wskaźnika dźwigni dla aktywów zaliczonych do kategorii ekspozycji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e), ea), f) i g) rozporządzenia (UE) nr</w:t>
            </w:r>
            <w:r w:rsidR="00B817D9" w:rsidRPr="00B817D9">
              <w:rPr>
                <w:rFonts w:ascii="Times New Roman" w:hAnsi="Times New Roman"/>
                <w:sz w:val="24"/>
              </w:rPr>
              <w:t> </w:t>
            </w:r>
            <w:r w:rsidRPr="00B817D9">
              <w:rPr>
                <w:rFonts w:ascii="Times New Roman" w:hAnsi="Times New Roman"/>
                <w:sz w:val="24"/>
              </w:rPr>
              <w:t>575/2013.</w:t>
            </w:r>
          </w:p>
          <w:p w14:paraId="71F126DD" w14:textId="4B95E472" w:rsidR="00BB388D" w:rsidRPr="00B817D9" w:rsidRDefault="00482670"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zgłaszają aktywa, które są odliczane od sumy funduszy własnych (np. wartości niematerialne</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pra</w:t>
            </w:r>
            <w:r w:rsidRPr="00B817D9">
              <w:rPr>
                <w:rFonts w:ascii="Times New Roman" w:hAnsi="Times New Roman"/>
                <w:sz w:val="24"/>
              </w:rPr>
              <w:t>wne), ale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inn</w:t>
            </w:r>
            <w:r w:rsidRPr="00B817D9">
              <w:rPr>
                <w:rFonts w:ascii="Times New Roman" w:hAnsi="Times New Roman"/>
                <w:sz w:val="24"/>
              </w:rPr>
              <w:t>ym przypadku nie mogą być zaklasyfikowane tutaj, nawet jeśli taka klasyfikacja nie jest wymagana do określenia wymogów</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zak</w:t>
            </w:r>
            <w:r w:rsidRPr="00B817D9">
              <w:rPr>
                <w:rFonts w:ascii="Times New Roman" w:hAnsi="Times New Roman"/>
                <w:sz w:val="24"/>
              </w:rPr>
              <w:t>resie funduszy</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opa</w:t>
            </w:r>
            <w:r w:rsidRPr="00B817D9">
              <w:rPr>
                <w:rFonts w:ascii="Times New Roman" w:hAnsi="Times New Roman"/>
                <w:sz w:val="24"/>
              </w:rPr>
              <w:t>rciu</w:t>
            </w:r>
            <w:r w:rsidR="00B817D9" w:rsidRPr="00B817D9">
              <w:rPr>
                <w:rFonts w:ascii="Times New Roman" w:hAnsi="Times New Roman"/>
                <w:sz w:val="24"/>
              </w:rPr>
              <w:t xml:space="preserve"> o</w:t>
            </w:r>
            <w:r w:rsidR="00B817D9">
              <w:rPr>
                <w:rFonts w:ascii="Times New Roman" w:hAnsi="Times New Roman"/>
                <w:sz w:val="24"/>
              </w:rPr>
              <w:t> </w:t>
            </w:r>
            <w:r w:rsidR="00B817D9" w:rsidRPr="00B817D9">
              <w:rPr>
                <w:rFonts w:ascii="Times New Roman" w:hAnsi="Times New Roman"/>
                <w:sz w:val="24"/>
              </w:rPr>
              <w:t>ryz</w:t>
            </w:r>
            <w:r w:rsidRPr="00B817D9">
              <w:rPr>
                <w:rFonts w:ascii="Times New Roman" w:hAnsi="Times New Roman"/>
                <w:sz w:val="24"/>
              </w:rPr>
              <w:t>yko</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kol</w:t>
            </w:r>
            <w:r w:rsidRPr="00B817D9">
              <w:rPr>
                <w:rFonts w:ascii="Times New Roman" w:hAnsi="Times New Roman"/>
                <w:sz w:val="24"/>
              </w:rPr>
              <w:t>umnach {*;0030} i {*;0040}.</w:t>
            </w:r>
          </w:p>
          <w:p w14:paraId="2C772C0F" w14:textId="142C485B" w:rsidR="002509B1" w:rsidRPr="00B817D9" w:rsidRDefault="00BB388D"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lastRenderedPageBreak/>
              <w:t>Instytucje nie zgłaszają tu ekspozycji według metody IRB, których dotyczy niewykonanie zobowiązania.</w:t>
            </w:r>
          </w:p>
        </w:tc>
      </w:tr>
      <w:tr w:rsidR="002A54FF" w:rsidRPr="00B817D9" w14:paraId="6B7AB21E" w14:textId="77777777" w:rsidTr="000B66BC">
        <w:trPr>
          <w:trHeight w:val="71"/>
        </w:trPr>
        <w:tc>
          <w:tcPr>
            <w:tcW w:w="1559" w:type="dxa"/>
            <w:shd w:val="clear" w:color="auto" w:fill="FFFFFF"/>
          </w:tcPr>
          <w:p w14:paraId="633B4D60" w14:textId="1DECF162"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{0290;0030}</w:t>
            </w:r>
          </w:p>
        </w:tc>
        <w:tc>
          <w:tcPr>
            <w:tcW w:w="7406" w:type="dxa"/>
            <w:shd w:val="clear" w:color="auto" w:fill="FFFFFF"/>
          </w:tcPr>
          <w:p w14:paraId="75145255" w14:textId="3F615415"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b/>
                <w:sz w:val="24"/>
              </w:rPr>
              <w:t>Inne ekspozycje – kwota ekspozycji ważonej ryzykiem – ekspozycje według metody standardowej</w:t>
            </w:r>
          </w:p>
          <w:p w14:paraId="61F5D6CA" w14:textId="77699120"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ważonej ryzykiem dla aktywów zaliczonych do kategorii ekspozycji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112 lit.</w:t>
            </w:r>
            <w:r w:rsidR="00B817D9" w:rsidRPr="00B817D9">
              <w:rPr>
                <w:rFonts w:ascii="Times New Roman" w:hAnsi="Times New Roman"/>
                <w:sz w:val="24"/>
              </w:rPr>
              <w:t> </w:t>
            </w:r>
            <w:r w:rsidRPr="00B817D9">
              <w:rPr>
                <w:rFonts w:ascii="Times New Roman" w:hAnsi="Times New Roman"/>
                <w:sz w:val="24"/>
              </w:rPr>
              <w:t>k), m), n), o), p) i q) rozporządzenia (UE) nr</w:t>
            </w:r>
            <w:r w:rsidR="00B817D9" w:rsidRPr="00B817D9">
              <w:rPr>
                <w:rFonts w:ascii="Times New Roman" w:hAnsi="Times New Roman"/>
                <w:sz w:val="24"/>
              </w:rPr>
              <w:t> </w:t>
            </w:r>
            <w:r w:rsidRPr="00B817D9">
              <w:rPr>
                <w:rFonts w:ascii="Times New Roman" w:hAnsi="Times New Roman"/>
                <w:sz w:val="24"/>
              </w:rPr>
              <w:t>575/2013.</w:t>
            </w:r>
          </w:p>
          <w:p w14:paraId="1A7DE9B0" w14:textId="1E7127C7"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7C5A4860" w14:textId="77777777" w:rsidTr="000B66BC">
        <w:trPr>
          <w:trHeight w:val="71"/>
        </w:trPr>
        <w:tc>
          <w:tcPr>
            <w:tcW w:w="1559" w:type="dxa"/>
            <w:shd w:val="clear" w:color="auto" w:fill="FFFFFF"/>
          </w:tcPr>
          <w:p w14:paraId="5D10170B" w14:textId="0353A1DD"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{0290;0040}</w:t>
            </w:r>
          </w:p>
        </w:tc>
        <w:tc>
          <w:tcPr>
            <w:tcW w:w="7406" w:type="dxa"/>
            <w:shd w:val="clear" w:color="auto" w:fill="FFFFFF"/>
          </w:tcPr>
          <w:p w14:paraId="4D50DB6F" w14:textId="42326087"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b/>
                <w:sz w:val="24"/>
              </w:rPr>
              <w:t>Inne ekspozycje – kwota ekspozycji ważonej ryzykiem – ekspozycje według metody IRB</w:t>
            </w:r>
          </w:p>
          <w:p w14:paraId="047D3368" w14:textId="7F2A2106" w:rsidR="00BB388D"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ważonej ryzykiem dla aktywów zaliczonych do kategorii ekspozycji wymienionych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art</w:t>
            </w:r>
            <w:r w:rsidRPr="00B817D9">
              <w:rPr>
                <w:rFonts w:ascii="Times New Roman" w:hAnsi="Times New Roman"/>
                <w:sz w:val="24"/>
              </w:rPr>
              <w: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e), ea), f) i g) rozporządzenia (UE) nr</w:t>
            </w:r>
            <w:r w:rsidR="00B817D9" w:rsidRPr="00B817D9">
              <w:rPr>
                <w:rFonts w:ascii="Times New Roman" w:hAnsi="Times New Roman"/>
                <w:sz w:val="24"/>
              </w:rPr>
              <w:t> </w:t>
            </w:r>
            <w:r w:rsidRPr="00B817D9">
              <w:rPr>
                <w:rFonts w:ascii="Times New Roman" w:hAnsi="Times New Roman"/>
                <w:sz w:val="24"/>
              </w:rPr>
              <w:t>575/2013.</w:t>
            </w:r>
          </w:p>
          <w:p w14:paraId="2891CC60" w14:textId="54E32862" w:rsidR="002509B1" w:rsidRPr="00B817D9" w:rsidRDefault="00BB388D"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1F3D2776" w14:textId="77777777" w:rsidTr="000B66BC">
        <w:trPr>
          <w:trHeight w:val="71"/>
        </w:trPr>
        <w:tc>
          <w:tcPr>
            <w:tcW w:w="1559" w:type="dxa"/>
            <w:shd w:val="clear" w:color="auto" w:fill="FFFFFF"/>
          </w:tcPr>
          <w:p w14:paraId="2E979259" w14:textId="01C67E6D"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{0300;0010}</w:t>
            </w:r>
          </w:p>
        </w:tc>
        <w:tc>
          <w:tcPr>
            <w:tcW w:w="7406" w:type="dxa"/>
            <w:shd w:val="clear" w:color="auto" w:fill="FFFFFF"/>
          </w:tcPr>
          <w:p w14:paraId="3D18A2F9" w14:textId="29912885" w:rsidR="002509B1" w:rsidRPr="00B817D9" w:rsidRDefault="005A052D"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ekspozycje sekurytyzacyjne – wartość ekspozycji wskaźnika dźwigni – ekspozycje według metody standardowej</w:t>
            </w:r>
          </w:p>
          <w:p w14:paraId="7530F6A8" w14:textId="1C7B6DE7"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sekurytyzacyjne według metody standardowej, objęte art.</w:t>
            </w:r>
            <w:r w:rsidR="00B817D9" w:rsidRPr="00B817D9">
              <w:rPr>
                <w:rFonts w:ascii="Times New Roman" w:hAnsi="Times New Roman"/>
                <w:sz w:val="24"/>
              </w:rPr>
              <w:t> </w:t>
            </w:r>
            <w:r w:rsidRPr="00B817D9">
              <w:rPr>
                <w:rFonts w:ascii="Times New Roman" w:hAnsi="Times New Roman"/>
                <w:sz w:val="24"/>
              </w:rPr>
              <w:t>112 lit.</w:t>
            </w:r>
            <w:r w:rsidR="00B817D9" w:rsidRPr="00B817D9">
              <w:rPr>
                <w:rFonts w:ascii="Times New Roman" w:hAnsi="Times New Roman"/>
                <w:sz w:val="24"/>
              </w:rPr>
              <w:t> </w:t>
            </w:r>
            <w:r w:rsidRPr="00B817D9">
              <w:rPr>
                <w:rFonts w:ascii="Times New Roman" w:hAnsi="Times New Roman"/>
                <w:sz w:val="24"/>
              </w:rPr>
              <w:t>m) rozporządzenia (UE) nr</w:t>
            </w:r>
            <w:r w:rsidR="00B817D9" w:rsidRPr="00B817D9">
              <w:rPr>
                <w:rFonts w:ascii="Times New Roman" w:hAnsi="Times New Roman"/>
                <w:sz w:val="24"/>
              </w:rPr>
              <w:t> </w:t>
            </w:r>
            <w:r w:rsidRPr="00B817D9">
              <w:rPr>
                <w:rFonts w:ascii="Times New Roman" w:hAnsi="Times New Roman"/>
                <w:sz w:val="24"/>
              </w:rPr>
              <w:t>575/2013.</w:t>
            </w:r>
          </w:p>
          <w:p w14:paraId="2DE0AC42" w14:textId="77A211EB" w:rsidR="009C4E79"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54158C66" w14:textId="77777777" w:rsidTr="000B66BC">
        <w:trPr>
          <w:trHeight w:val="71"/>
        </w:trPr>
        <w:tc>
          <w:tcPr>
            <w:tcW w:w="1559" w:type="dxa"/>
            <w:shd w:val="clear" w:color="auto" w:fill="FFFFFF"/>
          </w:tcPr>
          <w:p w14:paraId="081F9849" w14:textId="6C8F2355"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{0300;0020}</w:t>
            </w:r>
          </w:p>
        </w:tc>
        <w:tc>
          <w:tcPr>
            <w:tcW w:w="7406" w:type="dxa"/>
            <w:shd w:val="clear" w:color="auto" w:fill="FFFFFF"/>
          </w:tcPr>
          <w:p w14:paraId="12C4E302" w14:textId="1F965943" w:rsidR="002509B1" w:rsidRPr="00B817D9" w:rsidRDefault="005A052D"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ekspozycje sekurytyzacyjne – wartość ekspozycji wskaźnika dźwigni – ekspozycje według metody IRB</w:t>
            </w:r>
          </w:p>
          <w:p w14:paraId="52AFEF6A" w14:textId="288A2B4F" w:rsidR="009C4E79"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aktywów stanowiących ekspozycje sekurytyzacyjne według metody IRB,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f) rozporządzenia (UE) nr</w:t>
            </w:r>
            <w:r w:rsidR="00B817D9" w:rsidRPr="00B817D9">
              <w:rPr>
                <w:rFonts w:ascii="Times New Roman" w:hAnsi="Times New Roman"/>
                <w:sz w:val="24"/>
              </w:rPr>
              <w:t> </w:t>
            </w:r>
            <w:r w:rsidRPr="00B817D9">
              <w:rPr>
                <w:rFonts w:ascii="Times New Roman" w:hAnsi="Times New Roman"/>
                <w:sz w:val="24"/>
              </w:rPr>
              <w:t>575/2013.</w:t>
            </w:r>
          </w:p>
          <w:p w14:paraId="5A4CEC64" w14:textId="084E95CE" w:rsidR="002509B1" w:rsidRPr="00B817D9" w:rsidDel="00B9734C" w:rsidRDefault="009C4E79"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IRB, których dotyczy niewykonanie zobowiązania.</w:t>
            </w:r>
          </w:p>
        </w:tc>
      </w:tr>
      <w:tr w:rsidR="002A54FF" w:rsidRPr="00B817D9" w14:paraId="2D8DCA0F" w14:textId="77777777" w:rsidTr="000B66BC">
        <w:trPr>
          <w:trHeight w:val="71"/>
        </w:trPr>
        <w:tc>
          <w:tcPr>
            <w:tcW w:w="1559" w:type="dxa"/>
            <w:shd w:val="clear" w:color="auto" w:fill="FFFFFF"/>
          </w:tcPr>
          <w:p w14:paraId="59B7F740" w14:textId="00300309"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{0300;0030}</w:t>
            </w:r>
          </w:p>
        </w:tc>
        <w:tc>
          <w:tcPr>
            <w:tcW w:w="7406" w:type="dxa"/>
            <w:shd w:val="clear" w:color="auto" w:fill="FFFFFF"/>
          </w:tcPr>
          <w:p w14:paraId="0195360F" w14:textId="4CF13008" w:rsidR="00F4754B" w:rsidRPr="00B817D9" w:rsidRDefault="005A052D"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ekspozycje sekurytyzacyjne – kwota ekspozycji ważonej ryzykiem – ekspozycje według metody standardowej</w:t>
            </w:r>
          </w:p>
          <w:p w14:paraId="583F2964" w14:textId="2C434DB4"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sekurytyzacyjne według metody standardowej, objęte art.</w:t>
            </w:r>
            <w:r w:rsidR="00B817D9" w:rsidRPr="00B817D9">
              <w:rPr>
                <w:rFonts w:ascii="Times New Roman" w:hAnsi="Times New Roman"/>
                <w:sz w:val="24"/>
              </w:rPr>
              <w:t> </w:t>
            </w:r>
            <w:r w:rsidRPr="00B817D9">
              <w:rPr>
                <w:rFonts w:ascii="Times New Roman" w:hAnsi="Times New Roman"/>
                <w:sz w:val="24"/>
              </w:rPr>
              <w:t>112 lit.</w:t>
            </w:r>
            <w:r w:rsidR="00B817D9" w:rsidRPr="00B817D9">
              <w:rPr>
                <w:rFonts w:ascii="Times New Roman" w:hAnsi="Times New Roman"/>
                <w:sz w:val="24"/>
              </w:rPr>
              <w:t> </w:t>
            </w:r>
            <w:r w:rsidRPr="00B817D9">
              <w:rPr>
                <w:rFonts w:ascii="Times New Roman" w:hAnsi="Times New Roman"/>
                <w:sz w:val="24"/>
              </w:rPr>
              <w:t>m) rozporządzenia (UE) nr</w:t>
            </w:r>
            <w:r w:rsidR="00B817D9" w:rsidRPr="00B817D9">
              <w:rPr>
                <w:rFonts w:ascii="Times New Roman" w:hAnsi="Times New Roman"/>
                <w:sz w:val="24"/>
              </w:rPr>
              <w:t> </w:t>
            </w:r>
            <w:r w:rsidRPr="00B817D9">
              <w:rPr>
                <w:rFonts w:ascii="Times New Roman" w:hAnsi="Times New Roman"/>
                <w:sz w:val="24"/>
              </w:rPr>
              <w:t>575/2013.</w:t>
            </w:r>
          </w:p>
          <w:p w14:paraId="34AEB620" w14:textId="279486FE"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lastRenderedPageBreak/>
              <w:t>Instytucje nie zgłaszają tu ekspozycji według metody standardowej, których dotyczy niewykonanie zobowiązania.</w:t>
            </w:r>
          </w:p>
        </w:tc>
      </w:tr>
      <w:tr w:rsidR="002A54FF" w:rsidRPr="00B817D9" w14:paraId="4AF9EC67" w14:textId="77777777" w:rsidTr="000B66BC">
        <w:trPr>
          <w:trHeight w:val="71"/>
        </w:trPr>
        <w:tc>
          <w:tcPr>
            <w:tcW w:w="1559" w:type="dxa"/>
            <w:shd w:val="clear" w:color="auto" w:fill="FFFFFF"/>
          </w:tcPr>
          <w:p w14:paraId="338D7286" w14:textId="4155BC0C"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{0300;0040}</w:t>
            </w:r>
          </w:p>
        </w:tc>
        <w:tc>
          <w:tcPr>
            <w:tcW w:w="7406" w:type="dxa"/>
            <w:shd w:val="clear" w:color="auto" w:fill="FFFFFF"/>
          </w:tcPr>
          <w:p w14:paraId="546F46AF" w14:textId="111BE038" w:rsidR="00F4754B" w:rsidRPr="00B817D9" w:rsidRDefault="005A052D"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 ekspozycje sekurytyzacyjne – kwota ekspozycji ważonej ryzykiem – ekspozycje według metody IRB</w:t>
            </w:r>
          </w:p>
          <w:p w14:paraId="745FCC52" w14:textId="0F587AA1"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aktywów stanowiących ekspozycje sekurytyzacyjne według metody IRB, objęte art.</w:t>
            </w:r>
            <w:r w:rsidR="00B817D9" w:rsidRPr="00B817D9">
              <w:rPr>
                <w:rFonts w:ascii="Times New Roman" w:hAnsi="Times New Roman"/>
                <w:sz w:val="24"/>
              </w:rPr>
              <w:t> </w:t>
            </w:r>
            <w:r w:rsidRPr="00B817D9">
              <w:rPr>
                <w:rFonts w:ascii="Times New Roman" w:hAnsi="Times New Roman"/>
                <w:sz w:val="24"/>
              </w:rPr>
              <w:t>147 ust.</w:t>
            </w:r>
            <w:r w:rsidR="00B817D9" w:rsidRPr="00B817D9">
              <w:rPr>
                <w:rFonts w:ascii="Times New Roman" w:hAnsi="Times New Roman"/>
                <w:sz w:val="24"/>
              </w:rPr>
              <w:t> </w:t>
            </w:r>
            <w:r w:rsidRPr="00B817D9">
              <w:rPr>
                <w:rFonts w:ascii="Times New Roman" w:hAnsi="Times New Roman"/>
                <w:sz w:val="24"/>
              </w:rPr>
              <w:t>2 lit.</w:t>
            </w:r>
            <w:r w:rsidR="00B817D9" w:rsidRPr="00B817D9">
              <w:rPr>
                <w:rFonts w:ascii="Times New Roman" w:hAnsi="Times New Roman"/>
                <w:sz w:val="24"/>
              </w:rPr>
              <w:t> </w:t>
            </w:r>
            <w:r w:rsidRPr="00B817D9">
              <w:rPr>
                <w:rFonts w:ascii="Times New Roman" w:hAnsi="Times New Roman"/>
                <w:sz w:val="24"/>
              </w:rPr>
              <w:t>f) rozporządzenia (UE) nr</w:t>
            </w:r>
            <w:r w:rsidR="00B817D9" w:rsidRPr="00B817D9">
              <w:rPr>
                <w:rFonts w:ascii="Times New Roman" w:hAnsi="Times New Roman"/>
                <w:sz w:val="24"/>
              </w:rPr>
              <w:t> </w:t>
            </w:r>
            <w:r w:rsidRPr="00B817D9">
              <w:rPr>
                <w:rFonts w:ascii="Times New Roman" w:hAnsi="Times New Roman"/>
                <w:sz w:val="24"/>
              </w:rPr>
              <w:t>575/2013.</w:t>
            </w:r>
          </w:p>
          <w:p w14:paraId="6DCC2024" w14:textId="3E5BF347" w:rsidR="009C4E79"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19980126" w14:textId="77777777" w:rsidTr="000B66BC">
        <w:trPr>
          <w:trHeight w:val="71"/>
        </w:trPr>
        <w:tc>
          <w:tcPr>
            <w:tcW w:w="1559" w:type="dxa"/>
            <w:shd w:val="clear" w:color="auto" w:fill="FFFFFF"/>
          </w:tcPr>
          <w:p w14:paraId="70EF17D6" w14:textId="2BA73667"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{0310;0010}</w:t>
            </w:r>
          </w:p>
        </w:tc>
        <w:tc>
          <w:tcPr>
            <w:tcW w:w="7406" w:type="dxa"/>
            <w:shd w:val="clear" w:color="auto" w:fill="FFFFFF"/>
          </w:tcPr>
          <w:p w14:paraId="1F726694" w14:textId="75DDDC08"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Finansowanie handlu (pozycja uzupełniająca) – wartość ekspozycji wskaźnika dźwigni – ekspozycje według metody standardowej</w:t>
            </w:r>
          </w:p>
          <w:p w14:paraId="40329EE0" w14:textId="62B475A4" w:rsidR="002509B1"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pozycji bilansowych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udz</w:t>
            </w:r>
            <w:r w:rsidRPr="00B817D9">
              <w:rPr>
                <w:rFonts w:ascii="Times New Roman" w:hAnsi="Times New Roman"/>
                <w:sz w:val="24"/>
              </w:rPr>
              <w:t>ielaniem kredytów eksporterowi lub importerowi towarów lub usług</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kredytów importowych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eks</w:t>
            </w:r>
            <w:r w:rsidRPr="00B817D9">
              <w:rPr>
                <w:rFonts w:ascii="Times New Roman" w:hAnsi="Times New Roman"/>
                <w:sz w:val="24"/>
              </w:rPr>
              <w:t>portowych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pod</w:t>
            </w:r>
            <w:r w:rsidRPr="00B817D9">
              <w:rPr>
                <w:rFonts w:ascii="Times New Roman" w:hAnsi="Times New Roman"/>
                <w:sz w:val="24"/>
              </w:rPr>
              <w:t>obnych transakcji.</w:t>
            </w:r>
          </w:p>
          <w:p w14:paraId="07887909" w14:textId="376C2A24" w:rsidR="00086A8A"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7849841B" w14:textId="77777777" w:rsidTr="000B66BC">
        <w:trPr>
          <w:trHeight w:val="71"/>
        </w:trPr>
        <w:tc>
          <w:tcPr>
            <w:tcW w:w="1559" w:type="dxa"/>
            <w:shd w:val="clear" w:color="auto" w:fill="FFFFFF"/>
          </w:tcPr>
          <w:p w14:paraId="7770CF17" w14:textId="209AA225"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{0310;0020}</w:t>
            </w:r>
          </w:p>
        </w:tc>
        <w:tc>
          <w:tcPr>
            <w:tcW w:w="7406" w:type="dxa"/>
            <w:shd w:val="clear" w:color="auto" w:fill="FFFFFF"/>
          </w:tcPr>
          <w:p w14:paraId="3DC59FB7" w14:textId="38AD74CC"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Finansowanie handlu (pozycja uzupełniająca) – wartość ekspozycji wskaźnika dźwigni – ekspozycje według metody IRB</w:t>
            </w:r>
          </w:p>
          <w:p w14:paraId="0A442979" w14:textId="55E41650" w:rsidR="00BE6AC4"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wskaźnika dźwigni dla pozycji bilansowych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udz</w:t>
            </w:r>
            <w:r w:rsidRPr="00B817D9">
              <w:rPr>
                <w:rFonts w:ascii="Times New Roman" w:hAnsi="Times New Roman"/>
                <w:sz w:val="24"/>
              </w:rPr>
              <w:t>ielaniem kredytów eksporterowi lub importerowi towarów lub usług</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kredytów importowych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eks</w:t>
            </w:r>
            <w:r w:rsidRPr="00B817D9">
              <w:rPr>
                <w:rFonts w:ascii="Times New Roman" w:hAnsi="Times New Roman"/>
                <w:sz w:val="24"/>
              </w:rPr>
              <w:t>portowych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pod</w:t>
            </w:r>
            <w:r w:rsidRPr="00B817D9">
              <w:rPr>
                <w:rFonts w:ascii="Times New Roman" w:hAnsi="Times New Roman"/>
                <w:sz w:val="24"/>
              </w:rPr>
              <w:t>obnych transakcji.</w:t>
            </w:r>
          </w:p>
          <w:p w14:paraId="009892EF" w14:textId="4CD440BB" w:rsidR="009C4E79" w:rsidRPr="00B817D9" w:rsidRDefault="009C4E79"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IRB, których dotyczy niewykonanie zobowiązania.</w:t>
            </w:r>
          </w:p>
        </w:tc>
      </w:tr>
      <w:tr w:rsidR="002A54FF" w:rsidRPr="00B817D9" w14:paraId="0944BE23" w14:textId="77777777" w:rsidTr="000B66BC">
        <w:trPr>
          <w:trHeight w:val="71"/>
        </w:trPr>
        <w:tc>
          <w:tcPr>
            <w:tcW w:w="1559" w:type="dxa"/>
            <w:shd w:val="clear" w:color="auto" w:fill="FFFFFF"/>
          </w:tcPr>
          <w:p w14:paraId="375E033C" w14:textId="2994690F"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{0310;0030}</w:t>
            </w:r>
          </w:p>
        </w:tc>
        <w:tc>
          <w:tcPr>
            <w:tcW w:w="7406" w:type="dxa"/>
            <w:shd w:val="clear" w:color="auto" w:fill="FFFFFF"/>
          </w:tcPr>
          <w:p w14:paraId="2CAEEABE" w14:textId="362B2A0C"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Finansowanie handlu (pozycja uzupełniająca) – kwota ekspozycji ważonej ryzykiem – ekspozycje według metody standardowej</w:t>
            </w:r>
          </w:p>
          <w:p w14:paraId="08DFF23E" w14:textId="24C6FC5F" w:rsidR="00086A8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ważonej ryzykiem dla pozycji bilansowych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udz</w:t>
            </w:r>
            <w:r w:rsidRPr="00B817D9">
              <w:rPr>
                <w:rFonts w:ascii="Times New Roman" w:hAnsi="Times New Roman"/>
                <w:sz w:val="24"/>
              </w:rPr>
              <w:t>ielaniem kredytów eksporterowi lub importerowi towarów lub usług</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kredytów importowych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eks</w:t>
            </w:r>
            <w:r w:rsidRPr="00B817D9">
              <w:rPr>
                <w:rFonts w:ascii="Times New Roman" w:hAnsi="Times New Roman"/>
                <w:sz w:val="24"/>
              </w:rPr>
              <w:t>portowych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pod</w:t>
            </w:r>
            <w:r w:rsidRPr="00B817D9">
              <w:rPr>
                <w:rFonts w:ascii="Times New Roman" w:hAnsi="Times New Roman"/>
                <w:sz w:val="24"/>
              </w:rPr>
              <w:t>obnych transakcji.</w:t>
            </w:r>
          </w:p>
          <w:p w14:paraId="1392FEC6" w14:textId="0CEA5EB1"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2EAEC41E" w14:textId="77777777" w:rsidTr="000B66BC">
        <w:trPr>
          <w:trHeight w:val="71"/>
        </w:trPr>
        <w:tc>
          <w:tcPr>
            <w:tcW w:w="1559" w:type="dxa"/>
            <w:shd w:val="clear" w:color="auto" w:fill="FFFFFF"/>
          </w:tcPr>
          <w:p w14:paraId="2D3EEDC7" w14:textId="50ACD0A0"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{0310;0040}</w:t>
            </w:r>
          </w:p>
        </w:tc>
        <w:tc>
          <w:tcPr>
            <w:tcW w:w="7406" w:type="dxa"/>
            <w:shd w:val="clear" w:color="auto" w:fill="FFFFFF"/>
          </w:tcPr>
          <w:p w14:paraId="6234B372" w14:textId="0FE9A0F4"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Finansowanie handlu (pozycja uzupełniająca) – kwota ekspozycji ważonej ryzykiem – ekspozycje według metody IRB</w:t>
            </w:r>
          </w:p>
          <w:p w14:paraId="7C41D05F" w14:textId="2654A8FF"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lastRenderedPageBreak/>
              <w:t>Kwota ekspozycji ważonej ryzykiem dla pozycji bilansowych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udz</w:t>
            </w:r>
            <w:r w:rsidRPr="00B817D9">
              <w:rPr>
                <w:rFonts w:ascii="Times New Roman" w:hAnsi="Times New Roman"/>
                <w:sz w:val="24"/>
              </w:rPr>
              <w:t>ielaniem kredytów eksporterowi lub importerowi towarów lub usług</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kredytów importowych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eks</w:t>
            </w:r>
            <w:r w:rsidRPr="00B817D9">
              <w:rPr>
                <w:rFonts w:ascii="Times New Roman" w:hAnsi="Times New Roman"/>
                <w:sz w:val="24"/>
              </w:rPr>
              <w:t>portowych</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pod</w:t>
            </w:r>
            <w:r w:rsidRPr="00B817D9">
              <w:rPr>
                <w:rFonts w:ascii="Times New Roman" w:hAnsi="Times New Roman"/>
                <w:sz w:val="24"/>
              </w:rPr>
              <w:t>obnych transakcji.</w:t>
            </w:r>
          </w:p>
          <w:p w14:paraId="69D1BF8F" w14:textId="1ADC695A" w:rsidR="009C4E79"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0F47267B" w14:textId="77777777" w:rsidTr="000B66BC">
        <w:trPr>
          <w:trHeight w:val="71"/>
        </w:trPr>
        <w:tc>
          <w:tcPr>
            <w:tcW w:w="1559" w:type="dxa"/>
            <w:shd w:val="clear" w:color="auto" w:fill="FFFFFF"/>
          </w:tcPr>
          <w:p w14:paraId="01A66D59" w14:textId="16BAA6D6"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{0320;0010}</w:t>
            </w:r>
          </w:p>
        </w:tc>
        <w:tc>
          <w:tcPr>
            <w:tcW w:w="7406" w:type="dxa"/>
            <w:shd w:val="clear" w:color="auto" w:fill="FFFFFF"/>
          </w:tcPr>
          <w:p w14:paraId="68BD9684" w14:textId="25FE445D" w:rsidR="00F4754B" w:rsidRPr="00B817D9" w:rsidRDefault="005A052D"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ram</w:t>
            </w:r>
            <w:r w:rsidRPr="00B817D9">
              <w:rPr>
                <w:rFonts w:ascii="Times New Roman" w:hAnsi="Times New Roman"/>
                <w:b/>
                <w:sz w:val="24"/>
              </w:rPr>
              <w:t>ach urzędowego programu ubezpieczenia kredytów eksportowych – wartość ekspozycji wskaźnika dźwigni – ekspozycje według metody standardowej</w:t>
            </w:r>
          </w:p>
          <w:p w14:paraId="77C2AA79" w14:textId="0D31EB06" w:rsidR="00FC5086"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wskaźnika dźwigni dla pozycji bilansowych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fin</w:t>
            </w:r>
            <w:r w:rsidRPr="00B817D9">
              <w:rPr>
                <w:rFonts w:ascii="Times New Roman" w:hAnsi="Times New Roman"/>
                <w:sz w:val="24"/>
              </w:rPr>
              <w:t>ansowaniem handlu</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ach urzędowego programu ubezpieczenia kredytów eksportowych.</w:t>
            </w:r>
          </w:p>
          <w:p w14:paraId="724169CB" w14:textId="423377E5" w:rsidR="00F4754B" w:rsidRPr="00B817D9" w:rsidRDefault="00C90B14" w:rsidP="000B66BC">
            <w:pPr>
              <w:pStyle w:val="BodyText1"/>
              <w:spacing w:after="240" w:line="240" w:lineRule="auto"/>
              <w:rPr>
                <w:rFonts w:ascii="Times New Roman" w:hAnsi="Times New Roman"/>
                <w:sz w:val="24"/>
                <w:szCs w:val="24"/>
              </w:rPr>
            </w:pPr>
            <w:r w:rsidRPr="00B817D9">
              <w:rPr>
                <w:rFonts w:ascii="Times New Roman" w:hAnsi="Times New Roman"/>
                <w:sz w:val="24"/>
              </w:rPr>
              <w:t>Na potrzeby sprawozdawczości we wzorze LR4 urzędowy program ubezpieczenia kredytów eksportowych dotyczy oficjalnego wsparcia udzielanego przez rząd lub inny podmiot, taki jak agencja kredytów eksportowych,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m.in. kredytów bezpośrednich/finansowania bezpośredniego, refinansowania, subsydiowania stopy procentowej (w przypadku którego gwarantuje się stałe oprocentowanie przez okres kredytu), finansowania pomocy (kredyty</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dot</w:t>
            </w:r>
            <w:r w:rsidRPr="00B817D9">
              <w:rPr>
                <w:rFonts w:ascii="Times New Roman" w:hAnsi="Times New Roman"/>
                <w:sz w:val="24"/>
              </w:rPr>
              <w:t>acje), ubezpieczenia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gwa</w:t>
            </w:r>
            <w:r w:rsidRPr="00B817D9">
              <w:rPr>
                <w:rFonts w:ascii="Times New Roman" w:hAnsi="Times New Roman"/>
                <w:sz w:val="24"/>
              </w:rPr>
              <w:t xml:space="preserve">rancji kredytu eksportowego. </w:t>
            </w:r>
          </w:p>
          <w:p w14:paraId="6749A4E0" w14:textId="3BDB38AA" w:rsidR="002509B1" w:rsidRPr="00B817D9" w:rsidRDefault="00086A8A"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324D0C14" w14:textId="77777777" w:rsidTr="000B66BC">
        <w:trPr>
          <w:trHeight w:val="71"/>
        </w:trPr>
        <w:tc>
          <w:tcPr>
            <w:tcW w:w="1559" w:type="dxa"/>
            <w:shd w:val="clear" w:color="auto" w:fill="FFFFFF"/>
          </w:tcPr>
          <w:p w14:paraId="379BEEE3" w14:textId="251ACAEF"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{0320;0020}</w:t>
            </w:r>
          </w:p>
        </w:tc>
        <w:tc>
          <w:tcPr>
            <w:tcW w:w="7406" w:type="dxa"/>
            <w:shd w:val="clear" w:color="auto" w:fill="FFFFFF"/>
          </w:tcPr>
          <w:p w14:paraId="487C59EC" w14:textId="4F553E8D" w:rsidR="002509B1" w:rsidRPr="00B817D9" w:rsidRDefault="005A052D"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ram</w:t>
            </w:r>
            <w:r w:rsidRPr="00B817D9">
              <w:rPr>
                <w:rFonts w:ascii="Times New Roman" w:hAnsi="Times New Roman"/>
                <w:b/>
                <w:sz w:val="24"/>
              </w:rPr>
              <w:t>ach urzędowego programu ubezpieczenia kredytów eksportowych – wartość ekspozycji wskaźnika dźwigni – ekspozycje według metody IRB</w:t>
            </w:r>
          </w:p>
          <w:p w14:paraId="28C477A6" w14:textId="4E1B1DB4" w:rsidR="00FC5086"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wskaźnika dźwigni dla pozycji bilansowych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fin</w:t>
            </w:r>
            <w:r w:rsidRPr="00B817D9">
              <w:rPr>
                <w:rFonts w:ascii="Times New Roman" w:hAnsi="Times New Roman"/>
                <w:sz w:val="24"/>
              </w:rPr>
              <w:t>ansowaniem handlu</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 xml:space="preserve">ach urzędowego programu ubezpieczenia kredytów eksportowych. </w:t>
            </w:r>
          </w:p>
          <w:p w14:paraId="453591E6" w14:textId="22E72C95" w:rsidR="009C4E79" w:rsidRPr="00B817D9" w:rsidRDefault="00C90B14" w:rsidP="000B66BC">
            <w:pPr>
              <w:pStyle w:val="BodyText1"/>
              <w:spacing w:after="240" w:line="240" w:lineRule="auto"/>
              <w:rPr>
                <w:rFonts w:ascii="Times New Roman" w:hAnsi="Times New Roman"/>
                <w:sz w:val="24"/>
                <w:szCs w:val="24"/>
              </w:rPr>
            </w:pPr>
            <w:r w:rsidRPr="00B817D9">
              <w:rPr>
                <w:rFonts w:ascii="Times New Roman" w:hAnsi="Times New Roman"/>
                <w:sz w:val="24"/>
              </w:rPr>
              <w:t>Na potrzeby sprawozdawczości we wzorze LR4 urzędowy program ubezpieczenia kredytów eksportowych dotyczy oficjalnego wsparcia udzielanego przez rząd lub inny podmiot, taki jak agencja kredytów eksportowych,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m.in. kredytów bezpośrednich/finansowania bezpośredniego, refinansowania, subsydiowania stopy procentowej (w przypadku którego gwarantuje się stałe oprocentowanie przez okres kredytu), finansowania pomocy (kredyty</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dot</w:t>
            </w:r>
            <w:r w:rsidRPr="00B817D9">
              <w:rPr>
                <w:rFonts w:ascii="Times New Roman" w:hAnsi="Times New Roman"/>
                <w:sz w:val="24"/>
              </w:rPr>
              <w:t>acje), ubezpieczenia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gwa</w:t>
            </w:r>
            <w:r w:rsidRPr="00B817D9">
              <w:rPr>
                <w:rFonts w:ascii="Times New Roman" w:hAnsi="Times New Roman"/>
                <w:sz w:val="24"/>
              </w:rPr>
              <w:t>rancji kredytu eksportowego.</w:t>
            </w:r>
          </w:p>
          <w:p w14:paraId="121B09A0" w14:textId="7D13C18C" w:rsidR="002509B1" w:rsidRPr="00B817D9" w:rsidDel="00600AB1"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r w:rsidR="002A54FF" w:rsidRPr="00B817D9" w14:paraId="5958CABD" w14:textId="77777777" w:rsidTr="000B66BC">
        <w:trPr>
          <w:trHeight w:val="71"/>
        </w:trPr>
        <w:tc>
          <w:tcPr>
            <w:tcW w:w="1559" w:type="dxa"/>
            <w:shd w:val="clear" w:color="auto" w:fill="FFFFFF"/>
          </w:tcPr>
          <w:p w14:paraId="50D523A5" w14:textId="2D5719F5"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lastRenderedPageBreak/>
              <w:t>{0320;0030}</w:t>
            </w:r>
          </w:p>
        </w:tc>
        <w:tc>
          <w:tcPr>
            <w:tcW w:w="7406" w:type="dxa"/>
            <w:shd w:val="clear" w:color="auto" w:fill="FFFFFF"/>
          </w:tcPr>
          <w:p w14:paraId="1BC55C9E" w14:textId="748DE7C0" w:rsidR="00F4754B" w:rsidRPr="00B817D9" w:rsidRDefault="005A052D"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ram</w:t>
            </w:r>
            <w:r w:rsidRPr="00B817D9">
              <w:rPr>
                <w:rFonts w:ascii="Times New Roman" w:hAnsi="Times New Roman"/>
                <w:b/>
                <w:sz w:val="24"/>
              </w:rPr>
              <w:t>ach urzędowego programu ubezpieczenia kredytów eksportowych – kwota ekspozycji ważonej ryzykiem – ekspozycje według metody standardowej</w:t>
            </w:r>
          </w:p>
          <w:p w14:paraId="5BDA0B92" w14:textId="43F5B32D" w:rsidR="005E0E4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Wartość ekspozycji ważonej ryzykiem dla pozycji bilansowych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fin</w:t>
            </w:r>
            <w:r w:rsidRPr="00B817D9">
              <w:rPr>
                <w:rFonts w:ascii="Times New Roman" w:hAnsi="Times New Roman"/>
                <w:sz w:val="24"/>
              </w:rPr>
              <w:t>ansowaniem handlu</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 xml:space="preserve">ach urzędowego programu ubezpieczenia kredytów eksportowych. </w:t>
            </w:r>
          </w:p>
          <w:p w14:paraId="04A05DE3" w14:textId="578281FE" w:rsidR="00F4754B" w:rsidRPr="00B817D9" w:rsidRDefault="00C90B14" w:rsidP="000B66BC">
            <w:pPr>
              <w:pStyle w:val="BodyText1"/>
              <w:spacing w:after="240" w:line="240" w:lineRule="auto"/>
              <w:rPr>
                <w:rFonts w:ascii="Times New Roman" w:hAnsi="Times New Roman"/>
                <w:sz w:val="24"/>
                <w:szCs w:val="24"/>
              </w:rPr>
            </w:pPr>
            <w:r w:rsidRPr="00B817D9">
              <w:rPr>
                <w:rFonts w:ascii="Times New Roman" w:hAnsi="Times New Roman"/>
                <w:sz w:val="24"/>
              </w:rPr>
              <w:t>Na potrzeby sprawozdawczości we wzorze LR4 urzędowy program ubezpieczenia kredytów eksportowych dotyczy oficjalnego wsparcia udzielanego przez rząd lub inny podmiot, taki jak agencja kredytów eksportowych,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m.in. kredytów bezpośrednich/finansowania bezpośredniego, refinansowania, subsydiowania stopy procentowej (w przypadku którego gwarantuje się stałe oprocentowanie przez okres kredytu), finansowania pomocy (kredyty</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dot</w:t>
            </w:r>
            <w:r w:rsidRPr="00B817D9">
              <w:rPr>
                <w:rFonts w:ascii="Times New Roman" w:hAnsi="Times New Roman"/>
                <w:sz w:val="24"/>
              </w:rPr>
              <w:t>acje), ubezpieczenia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gwa</w:t>
            </w:r>
            <w:r w:rsidRPr="00B817D9">
              <w:rPr>
                <w:rFonts w:ascii="Times New Roman" w:hAnsi="Times New Roman"/>
                <w:sz w:val="24"/>
              </w:rPr>
              <w:t xml:space="preserve">rancji kredytu eksportowego. </w:t>
            </w:r>
          </w:p>
          <w:p w14:paraId="4F35ADC9" w14:textId="4AC2CE52" w:rsidR="002509B1" w:rsidRPr="00B817D9" w:rsidRDefault="00086A8A"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standardowej, których dotyczy niewykonanie zobowiązania.</w:t>
            </w:r>
          </w:p>
        </w:tc>
      </w:tr>
      <w:tr w:rsidR="002A54FF" w:rsidRPr="00B817D9" w14:paraId="50DFFA63" w14:textId="77777777" w:rsidTr="000B66BC">
        <w:trPr>
          <w:trHeight w:val="71"/>
        </w:trPr>
        <w:tc>
          <w:tcPr>
            <w:tcW w:w="1559" w:type="dxa"/>
            <w:shd w:val="clear" w:color="auto" w:fill="FFFFFF"/>
          </w:tcPr>
          <w:p w14:paraId="3E66A2E1" w14:textId="52C5C768" w:rsidR="00F4754B" w:rsidRPr="00B817D9" w:rsidRDefault="00F4754B" w:rsidP="000B66BC">
            <w:pPr>
              <w:pStyle w:val="BodyText1"/>
              <w:spacing w:after="240"/>
              <w:rPr>
                <w:rFonts w:ascii="Times New Roman" w:hAnsi="Times New Roman"/>
                <w:sz w:val="24"/>
                <w:szCs w:val="24"/>
              </w:rPr>
            </w:pPr>
            <w:r w:rsidRPr="00B817D9">
              <w:rPr>
                <w:rFonts w:ascii="Times New Roman" w:hAnsi="Times New Roman"/>
                <w:sz w:val="24"/>
              </w:rPr>
              <w:t>{0320;0040}</w:t>
            </w:r>
          </w:p>
        </w:tc>
        <w:tc>
          <w:tcPr>
            <w:tcW w:w="7406" w:type="dxa"/>
            <w:shd w:val="clear" w:color="auto" w:fill="FFFFFF"/>
          </w:tcPr>
          <w:p w14:paraId="02837300" w14:textId="5350C53B" w:rsidR="00F4754B" w:rsidRPr="00B817D9" w:rsidRDefault="005A052D"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 tym:</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ram</w:t>
            </w:r>
            <w:r w:rsidRPr="00B817D9">
              <w:rPr>
                <w:rFonts w:ascii="Times New Roman" w:hAnsi="Times New Roman"/>
                <w:b/>
                <w:sz w:val="24"/>
              </w:rPr>
              <w:t>ach urzędowego programu ubezpieczenia kredytów eksportowych – kwota ekspozycji ważonej ryzykiem – ekspozycje według metody IRB</w:t>
            </w:r>
          </w:p>
          <w:p w14:paraId="7E51B295" w14:textId="66CC1982" w:rsidR="005E0E4A"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Kwota ekspozycji ważonej ryzykiem dla pozycji bilansowych związanych</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fin</w:t>
            </w:r>
            <w:r w:rsidRPr="00B817D9">
              <w:rPr>
                <w:rFonts w:ascii="Times New Roman" w:hAnsi="Times New Roman"/>
                <w:sz w:val="24"/>
              </w:rPr>
              <w:t>ansowaniem handlu</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ram</w:t>
            </w:r>
            <w:r w:rsidRPr="00B817D9">
              <w:rPr>
                <w:rFonts w:ascii="Times New Roman" w:hAnsi="Times New Roman"/>
                <w:sz w:val="24"/>
              </w:rPr>
              <w:t xml:space="preserve">ach urzędowego programu ubezpieczenia kredytów eksportowych. </w:t>
            </w:r>
          </w:p>
          <w:p w14:paraId="22173B42" w14:textId="6563DBF7" w:rsidR="009C4E79" w:rsidRPr="00B817D9" w:rsidRDefault="00C90B14" w:rsidP="000B66BC">
            <w:pPr>
              <w:pStyle w:val="BodyText1"/>
              <w:spacing w:after="240" w:line="240" w:lineRule="auto"/>
              <w:rPr>
                <w:rFonts w:ascii="Times New Roman" w:hAnsi="Times New Roman"/>
                <w:sz w:val="24"/>
                <w:szCs w:val="24"/>
              </w:rPr>
            </w:pPr>
            <w:r w:rsidRPr="00B817D9">
              <w:rPr>
                <w:rFonts w:ascii="Times New Roman" w:hAnsi="Times New Roman"/>
                <w:sz w:val="24"/>
              </w:rPr>
              <w:t>Na potrzeby sprawozdawczości we wzorze LR4 urzędowy program ubezpieczenia kredytów eksportowych dotyczy oficjalnego wsparcia udzielanego przez rząd lub inny podmiot, taki jak agencja kredytów eksportowych,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pos</w:t>
            </w:r>
            <w:r w:rsidRPr="00B817D9">
              <w:rPr>
                <w:rFonts w:ascii="Times New Roman" w:hAnsi="Times New Roman"/>
                <w:sz w:val="24"/>
              </w:rPr>
              <w:t>taci m.in. kredytów bezpośrednich/finansowania bezpośredniego, refinansowania, subsydiowania stopy procentowej (w przypadku którego gwarantuje się stałe oprocentowanie przez okres kredytu), finansowania pomocy (kredyty</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dot</w:t>
            </w:r>
            <w:r w:rsidRPr="00B817D9">
              <w:rPr>
                <w:rFonts w:ascii="Times New Roman" w:hAnsi="Times New Roman"/>
                <w:sz w:val="24"/>
              </w:rPr>
              <w:t>acje), ubezpieczenia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gwa</w:t>
            </w:r>
            <w:r w:rsidRPr="00B817D9">
              <w:rPr>
                <w:rFonts w:ascii="Times New Roman" w:hAnsi="Times New Roman"/>
                <w:sz w:val="24"/>
              </w:rPr>
              <w:t xml:space="preserve">rancji kredytu eksportowego. </w:t>
            </w:r>
          </w:p>
          <w:p w14:paraId="16D3A7FB" w14:textId="65A4E59B" w:rsidR="002509B1" w:rsidRPr="00B817D9" w:rsidRDefault="009C4E79" w:rsidP="000B66BC">
            <w:pPr>
              <w:pStyle w:val="BodyText1"/>
              <w:spacing w:after="240" w:line="240" w:lineRule="auto"/>
              <w:rPr>
                <w:rFonts w:ascii="Times New Roman" w:hAnsi="Times New Roman"/>
                <w:b/>
                <w:bCs/>
                <w:sz w:val="24"/>
                <w:szCs w:val="24"/>
                <w:u w:val="single"/>
              </w:rPr>
            </w:pPr>
            <w:r w:rsidRPr="00B817D9">
              <w:rPr>
                <w:rFonts w:ascii="Times New Roman" w:hAnsi="Times New Roman"/>
                <w:sz w:val="24"/>
              </w:rPr>
              <w:t>Instytucje nie zgłaszają tu ekspozycji według metody IRB, których dotyczy niewykonanie zobowiązania.</w:t>
            </w:r>
          </w:p>
        </w:tc>
      </w:tr>
    </w:tbl>
    <w:p w14:paraId="6F5938BB" w14:textId="71A3874E" w:rsidR="004C0459" w:rsidRPr="00B817D9"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B817D9" w:rsidRDefault="005F4574" w:rsidP="000B66BC">
      <w:pPr>
        <w:pStyle w:val="BodyText1"/>
        <w:spacing w:after="240"/>
        <w:ind w:left="357" w:hanging="357"/>
        <w:outlineLvl w:val="1"/>
        <w:rPr>
          <w:rFonts w:ascii="Times New Roman" w:hAnsi="Times New Roman"/>
          <w:b/>
          <w:sz w:val="24"/>
          <w:szCs w:val="24"/>
        </w:rPr>
      </w:pPr>
      <w:bookmarkStart w:id="77" w:name="_Toc188604487"/>
      <w:r w:rsidRPr="00B817D9">
        <w:rPr>
          <w:rFonts w:ascii="Times New Roman" w:hAnsi="Times New Roman"/>
          <w:b/>
          <w:sz w:val="24"/>
        </w:rPr>
        <w:t>6.</w:t>
      </w:r>
      <w:r w:rsidRPr="00B817D9">
        <w:tab/>
      </w:r>
      <w:r w:rsidRPr="00B817D9">
        <w:rPr>
          <w:rFonts w:ascii="Times New Roman" w:hAnsi="Times New Roman"/>
          <w:b/>
          <w:sz w:val="24"/>
        </w:rPr>
        <w:t>C 44.00 – Informacje ogólne</w:t>
      </w:r>
      <w:bookmarkEnd w:id="74"/>
      <w:bookmarkEnd w:id="75"/>
      <w:r w:rsidRPr="00B817D9">
        <w:rPr>
          <w:rFonts w:ascii="Times New Roman" w:hAnsi="Times New Roman"/>
          <w:b/>
          <w:sz w:val="24"/>
        </w:rPr>
        <w:t xml:space="preserve"> (LR5)</w:t>
      </w:r>
      <w:bookmarkEnd w:id="76"/>
      <w:bookmarkEnd w:id="77"/>
    </w:p>
    <w:p w14:paraId="0762DA75" w14:textId="752AA2F9" w:rsidR="00F4754B" w:rsidRPr="00B817D9" w:rsidRDefault="00143C6A"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28.</w:t>
      </w:r>
      <w:r w:rsidRPr="00B817D9">
        <w:tab/>
      </w:r>
      <w:r w:rsidRPr="00B817D9">
        <w:rPr>
          <w:rFonts w:ascii="Times New Roman" w:hAnsi="Times New Roman"/>
          <w:sz w:val="24"/>
        </w:rPr>
        <w:t>W tym wzorze gromadzone są dodatkowe informacje do celów kategoryzacji rodzajów działalności instytucji</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war</w:t>
      </w:r>
      <w:r w:rsidRPr="00B817D9">
        <w:rPr>
          <w:rFonts w:ascii="Times New Roman" w:hAnsi="Times New Roman"/>
          <w:sz w:val="24"/>
        </w:rPr>
        <w:t>iantów regulacyjnych wybieranych przez instytucje.</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B817D9" w14:paraId="01020A4D" w14:textId="77777777" w:rsidTr="000B66BC">
        <w:tc>
          <w:tcPr>
            <w:tcW w:w="1730" w:type="dxa"/>
            <w:shd w:val="clear" w:color="auto" w:fill="D9D9D9" w:themeFill="background1" w:themeFillShade="D9"/>
          </w:tcPr>
          <w:p w14:paraId="609E7AEC" w14:textId="77777777" w:rsidR="00F4754B" w:rsidRPr="00B817D9" w:rsidRDefault="00F4754B" w:rsidP="000B66BC">
            <w:pPr>
              <w:pStyle w:val="BodyText1"/>
              <w:spacing w:after="240"/>
              <w:rPr>
                <w:rFonts w:ascii="Times New Roman" w:hAnsi="Times New Roman"/>
                <w:b/>
                <w:sz w:val="24"/>
                <w:szCs w:val="24"/>
              </w:rPr>
            </w:pPr>
            <w:r w:rsidRPr="00B817D9">
              <w:rPr>
                <w:rFonts w:ascii="Times New Roman" w:hAnsi="Times New Roman"/>
                <w:b/>
                <w:sz w:val="24"/>
              </w:rPr>
              <w:t xml:space="preserve">Wiersz </w:t>
            </w:r>
          </w:p>
          <w:p w14:paraId="3ADE932A" w14:textId="77777777" w:rsidR="00F4754B" w:rsidRPr="00B817D9" w:rsidRDefault="00F4754B" w:rsidP="000B66BC">
            <w:pPr>
              <w:pStyle w:val="BodyText1"/>
              <w:spacing w:after="240"/>
              <w:rPr>
                <w:rFonts w:ascii="Times New Roman" w:hAnsi="Times New Roman"/>
                <w:b/>
                <w:bCs/>
                <w:sz w:val="24"/>
                <w:szCs w:val="24"/>
              </w:rPr>
            </w:pPr>
            <w:r w:rsidRPr="00B817D9">
              <w:rPr>
                <w:rFonts w:ascii="Times New Roman" w:hAnsi="Times New Roman"/>
                <w:b/>
                <w:sz w:val="24"/>
              </w:rPr>
              <w:lastRenderedPageBreak/>
              <w:t>i kolumna</w:t>
            </w:r>
          </w:p>
        </w:tc>
        <w:tc>
          <w:tcPr>
            <w:tcW w:w="7308" w:type="dxa"/>
            <w:shd w:val="clear" w:color="auto" w:fill="D9D9D9" w:themeFill="background1" w:themeFillShade="D9"/>
          </w:tcPr>
          <w:p w14:paraId="07C08D86" w14:textId="77777777" w:rsidR="00F4754B" w:rsidRPr="00B817D9" w:rsidRDefault="00F4754B" w:rsidP="000B66BC">
            <w:pPr>
              <w:pStyle w:val="BodyText1"/>
              <w:spacing w:after="240"/>
              <w:rPr>
                <w:rFonts w:ascii="Times New Roman" w:hAnsi="Times New Roman"/>
                <w:b/>
                <w:bCs/>
                <w:sz w:val="24"/>
                <w:szCs w:val="24"/>
              </w:rPr>
            </w:pPr>
            <w:r w:rsidRPr="00B817D9">
              <w:rPr>
                <w:rFonts w:ascii="Times New Roman" w:hAnsi="Times New Roman"/>
                <w:b/>
                <w:sz w:val="24"/>
              </w:rPr>
              <w:lastRenderedPageBreak/>
              <w:t>Instrukcje</w:t>
            </w:r>
          </w:p>
        </w:tc>
      </w:tr>
      <w:tr w:rsidR="00F4754B" w:rsidRPr="00B817D9" w14:paraId="55A6FD39" w14:textId="77777777" w:rsidTr="000B66BC">
        <w:tc>
          <w:tcPr>
            <w:tcW w:w="1730" w:type="dxa"/>
          </w:tcPr>
          <w:p w14:paraId="4651DD6D" w14:textId="2C8898E2"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{0010;0010}</w:t>
            </w:r>
          </w:p>
        </w:tc>
        <w:tc>
          <w:tcPr>
            <w:tcW w:w="7308" w:type="dxa"/>
          </w:tcPr>
          <w:p w14:paraId="4DA873F1"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Struktura przedsiębiorstwa instytucji</w:t>
            </w:r>
          </w:p>
          <w:p w14:paraId="64CCC795" w14:textId="4C208564"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Instytucja klasyfikuje swoją strukturę przedsiębiorstwa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pon</w:t>
            </w:r>
            <w:r w:rsidRPr="00B817D9">
              <w:rPr>
                <w:rFonts w:ascii="Times New Roman" w:hAnsi="Times New Roman"/>
                <w:sz w:val="24"/>
              </w:rPr>
              <w:t>iższymi kategoriami:</w:t>
            </w:r>
          </w:p>
          <w:p w14:paraId="1F1192E5" w14:textId="77777777" w:rsidR="00F4754B" w:rsidRPr="00B817D9" w:rsidRDefault="00500508" w:rsidP="000B66BC">
            <w:pPr>
              <w:pStyle w:val="BodyText1"/>
              <w:spacing w:after="240" w:line="240" w:lineRule="auto"/>
              <w:ind w:left="36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spółka akcyjna;</w:t>
            </w:r>
          </w:p>
          <w:p w14:paraId="003D2706" w14:textId="77777777" w:rsidR="00F4754B" w:rsidRPr="00B817D9" w:rsidRDefault="00500508" w:rsidP="000B66BC">
            <w:pPr>
              <w:pStyle w:val="BodyText1"/>
              <w:spacing w:after="240" w:line="240" w:lineRule="auto"/>
              <w:ind w:left="36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towarzystwo ubezpieczeń wzajemnych/spółdzielnia;</w:t>
            </w:r>
          </w:p>
          <w:p w14:paraId="6192BE9A" w14:textId="31FF6E20" w:rsidR="00BE6AC4" w:rsidRPr="00B817D9" w:rsidRDefault="00500508" w:rsidP="000B66BC">
            <w:pPr>
              <w:pStyle w:val="BodyText1"/>
              <w:spacing w:after="240" w:line="240" w:lineRule="auto"/>
              <w:ind w:left="36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inne przedsiębiorstwo niebędące spółką akcyjną.</w:t>
            </w:r>
          </w:p>
        </w:tc>
      </w:tr>
      <w:tr w:rsidR="00F4754B" w:rsidRPr="00B817D9" w14:paraId="0E805489" w14:textId="77777777" w:rsidTr="000B66BC">
        <w:tc>
          <w:tcPr>
            <w:tcW w:w="1730" w:type="dxa"/>
          </w:tcPr>
          <w:p w14:paraId="024D6767" w14:textId="451206B8"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{0020;0010}</w:t>
            </w:r>
          </w:p>
        </w:tc>
        <w:tc>
          <w:tcPr>
            <w:tcW w:w="7308" w:type="dxa"/>
          </w:tcPr>
          <w:p w14:paraId="6E8478E9"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Sposób ujmowania instrumentów pochodnych</w:t>
            </w:r>
          </w:p>
          <w:p w14:paraId="32814C5E" w14:textId="1DC060E9"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Instytucja określa regulacje</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zak</w:t>
            </w:r>
            <w:r w:rsidRPr="00B817D9">
              <w:rPr>
                <w:rFonts w:ascii="Times New Roman" w:hAnsi="Times New Roman"/>
                <w:sz w:val="24"/>
              </w:rPr>
              <w:t>resie ujmowania instrumentów pochodnych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pon</w:t>
            </w:r>
            <w:r w:rsidRPr="00B817D9">
              <w:rPr>
                <w:rFonts w:ascii="Times New Roman" w:hAnsi="Times New Roman"/>
                <w:sz w:val="24"/>
              </w:rPr>
              <w:t>iższymi kategoriami:</w:t>
            </w:r>
          </w:p>
          <w:p w14:paraId="255B888B" w14:textId="0A6301B4" w:rsidR="00B04A5F" w:rsidRPr="00B817D9" w:rsidRDefault="00B04A5F" w:rsidP="000B66BC">
            <w:pPr>
              <w:pStyle w:val="BodyText1"/>
              <w:spacing w:after="240" w:line="240" w:lineRule="auto"/>
              <w:rPr>
                <w:rFonts w:ascii="Times New Roman" w:hAnsi="Times New Roman"/>
                <w:bCs/>
                <w:sz w:val="24"/>
                <w:szCs w:val="24"/>
              </w:rPr>
            </w:pPr>
            <w:r w:rsidRPr="00B817D9">
              <w:rPr>
                <w:rFonts w:ascii="Times New Roman" w:hAnsi="Times New Roman"/>
                <w:sz w:val="24"/>
              </w:rPr>
              <w:t>metoda standardowa dotycząca ryzyka kredytowego kontrahenta (metoda standardowa dotycząca CCR);</w:t>
            </w:r>
          </w:p>
          <w:p w14:paraId="43920088" w14:textId="66D48971" w:rsidR="00B04A5F" w:rsidRPr="00B817D9" w:rsidRDefault="00B04A5F" w:rsidP="000B66BC">
            <w:pPr>
              <w:pStyle w:val="BodyText1"/>
              <w:spacing w:after="240" w:line="240" w:lineRule="auto"/>
              <w:rPr>
                <w:rFonts w:ascii="Times New Roman" w:hAnsi="Times New Roman"/>
                <w:bCs/>
                <w:sz w:val="24"/>
                <w:szCs w:val="24"/>
              </w:rPr>
            </w:pPr>
            <w:r w:rsidRPr="00B817D9">
              <w:rPr>
                <w:rFonts w:ascii="Times New Roman" w:hAnsi="Times New Roman"/>
                <w:sz w:val="24"/>
              </w:rPr>
              <w:t>uproszczona metoda standardowa dotycząca ryzyka kredytowego kontrahenta;</w:t>
            </w:r>
          </w:p>
          <w:p w14:paraId="7A9DB046" w14:textId="7690E86C" w:rsidR="00BE6AC4" w:rsidRPr="00B817D9" w:rsidRDefault="00500508" w:rsidP="000B66BC">
            <w:pPr>
              <w:pStyle w:val="BodyText1"/>
              <w:spacing w:after="240" w:line="240" w:lineRule="auto"/>
              <w:ind w:left="36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metoda wyceny pierwotnej ekspozycji.</w:t>
            </w:r>
          </w:p>
        </w:tc>
      </w:tr>
      <w:tr w:rsidR="00F4754B" w:rsidRPr="00B817D9" w14:paraId="0E0C8448" w14:textId="77777777" w:rsidTr="000B66BC">
        <w:tc>
          <w:tcPr>
            <w:tcW w:w="1730" w:type="dxa"/>
          </w:tcPr>
          <w:p w14:paraId="6C37BCD8" w14:textId="7BBC71D1" w:rsidR="00F4754B" w:rsidRPr="00B817D9" w:rsidRDefault="00F4754B" w:rsidP="000B66BC">
            <w:pPr>
              <w:pStyle w:val="BodyText1"/>
              <w:spacing w:after="240"/>
              <w:rPr>
                <w:rFonts w:ascii="Times New Roman" w:hAnsi="Times New Roman"/>
                <w:bCs/>
                <w:sz w:val="24"/>
                <w:szCs w:val="24"/>
              </w:rPr>
            </w:pPr>
            <w:r w:rsidRPr="00B817D9">
              <w:rPr>
                <w:rFonts w:ascii="Times New Roman" w:hAnsi="Times New Roman"/>
                <w:sz w:val="24"/>
              </w:rPr>
              <w:t>{0040;0010}</w:t>
            </w:r>
          </w:p>
        </w:tc>
        <w:tc>
          <w:tcPr>
            <w:tcW w:w="7308" w:type="dxa"/>
          </w:tcPr>
          <w:p w14:paraId="3154A9B3" w14:textId="77777777" w:rsidR="00F4754B" w:rsidRPr="00B817D9" w:rsidRDefault="00F4754B"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Rodzaj instytucji</w:t>
            </w:r>
          </w:p>
          <w:p w14:paraId="2C15E916" w14:textId="51CCAD30" w:rsidR="00F4754B" w:rsidRPr="00B817D9" w:rsidRDefault="00F4754B"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Instytucja klasyfikuje swój rodzaj instytucji zgodnie</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pon</w:t>
            </w:r>
            <w:r w:rsidRPr="00B817D9">
              <w:rPr>
                <w:rFonts w:ascii="Times New Roman" w:hAnsi="Times New Roman"/>
                <w:sz w:val="24"/>
              </w:rPr>
              <w:t>iższymi kategoriami:</w:t>
            </w:r>
          </w:p>
          <w:p w14:paraId="5F9BB21A" w14:textId="53CCB428" w:rsidR="00F4754B" w:rsidRPr="00B817D9" w:rsidRDefault="00500508" w:rsidP="000B66BC">
            <w:pPr>
              <w:pStyle w:val="BodyText1"/>
              <w:spacing w:after="240" w:line="240" w:lineRule="auto"/>
              <w:ind w:left="36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bankowość uniwersalna (bankowość detaliczna/komercyjna</w:t>
            </w:r>
            <w:r w:rsidR="00B817D9" w:rsidRPr="00B817D9">
              <w:rPr>
                <w:rFonts w:ascii="Times New Roman" w:hAnsi="Times New Roman"/>
                <w:sz w:val="24"/>
              </w:rPr>
              <w:t xml:space="preserve"> i</w:t>
            </w:r>
            <w:r w:rsidR="00B817D9">
              <w:rPr>
                <w:rFonts w:ascii="Times New Roman" w:hAnsi="Times New Roman"/>
                <w:sz w:val="24"/>
              </w:rPr>
              <w:t> </w:t>
            </w:r>
            <w:r w:rsidR="00B817D9" w:rsidRPr="00B817D9">
              <w:rPr>
                <w:rFonts w:ascii="Times New Roman" w:hAnsi="Times New Roman"/>
                <w:sz w:val="24"/>
              </w:rPr>
              <w:t>inw</w:t>
            </w:r>
            <w:r w:rsidRPr="00B817D9">
              <w:rPr>
                <w:rFonts w:ascii="Times New Roman" w:hAnsi="Times New Roman"/>
                <w:sz w:val="24"/>
              </w:rPr>
              <w:t>estycyjna);</w:t>
            </w:r>
          </w:p>
          <w:p w14:paraId="730C89BA" w14:textId="77777777" w:rsidR="00F4754B" w:rsidRPr="00B817D9" w:rsidRDefault="00500508" w:rsidP="000B66BC">
            <w:pPr>
              <w:pStyle w:val="BodyText1"/>
              <w:spacing w:after="240" w:line="240" w:lineRule="auto"/>
              <w:ind w:left="36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bankowość detaliczna/komercyjna;</w:t>
            </w:r>
          </w:p>
          <w:p w14:paraId="430C8F32" w14:textId="77777777" w:rsidR="00F4754B" w:rsidRPr="00B817D9" w:rsidRDefault="00500508" w:rsidP="000B66BC">
            <w:pPr>
              <w:pStyle w:val="BodyText1"/>
              <w:spacing w:after="240" w:line="240" w:lineRule="auto"/>
              <w:ind w:left="36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bankowość inwestycyjna;</w:t>
            </w:r>
          </w:p>
          <w:p w14:paraId="53DE36EC" w14:textId="5929A7F1" w:rsidR="00875832" w:rsidRPr="00B817D9" w:rsidRDefault="00500508" w:rsidP="000B66BC">
            <w:pPr>
              <w:pStyle w:val="BodyText1"/>
              <w:spacing w:after="240" w:line="240" w:lineRule="auto"/>
              <w:ind w:left="36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kredytowanie specjalistyczne;</w:t>
            </w:r>
          </w:p>
          <w:p w14:paraId="5E1BA609" w14:textId="431EB72A" w:rsidR="005D66B3" w:rsidRPr="00B817D9" w:rsidRDefault="00546848" w:rsidP="000B66BC">
            <w:pPr>
              <w:pStyle w:val="BodyText1"/>
              <w:spacing w:after="240" w:line="240" w:lineRule="auto"/>
              <w:ind w:left="360" w:hanging="360"/>
              <w:rPr>
                <w:rFonts w:ascii="Times New Roman" w:hAnsi="Times New Roman"/>
                <w:color w:val="auto"/>
                <w:sz w:val="24"/>
                <w:szCs w:val="24"/>
              </w:rPr>
            </w:pPr>
            <w:r w:rsidRPr="00B817D9">
              <w:rPr>
                <w:rFonts w:ascii="Times New Roman" w:hAnsi="Times New Roman"/>
                <w:sz w:val="24"/>
              </w:rPr>
              <w:t>– publiczne kredytowe instytucje wspierające rozwój;</w:t>
            </w:r>
          </w:p>
          <w:p w14:paraId="55C552F6" w14:textId="725A2101" w:rsidR="00BE6AC4" w:rsidRPr="00B817D9" w:rsidRDefault="00875832" w:rsidP="000B66BC">
            <w:pPr>
              <w:pStyle w:val="BodyText1"/>
              <w:spacing w:after="240" w:line="240" w:lineRule="auto"/>
              <w:ind w:left="360" w:hanging="360"/>
              <w:rPr>
                <w:rFonts w:ascii="Times New Roman" w:hAnsi="Times New Roman"/>
                <w:bCs/>
                <w:sz w:val="24"/>
                <w:szCs w:val="24"/>
              </w:rPr>
            </w:pPr>
            <w:r w:rsidRPr="00B817D9">
              <w:rPr>
                <w:rFonts w:ascii="Times New Roman" w:hAnsi="Times New Roman"/>
                <w:sz w:val="24"/>
              </w:rPr>
              <w:t>–</w:t>
            </w:r>
            <w:r w:rsidRPr="00B817D9">
              <w:tab/>
            </w:r>
            <w:r w:rsidRPr="00B817D9">
              <w:rPr>
                <w:rFonts w:ascii="Times New Roman" w:hAnsi="Times New Roman"/>
                <w:sz w:val="24"/>
              </w:rPr>
              <w:t>inny model działalności gospodarczej.</w:t>
            </w:r>
          </w:p>
        </w:tc>
      </w:tr>
      <w:tr w:rsidR="006316AD" w:rsidRPr="00B817D9" w14:paraId="46E27CC1" w14:textId="77777777" w:rsidTr="000B66BC">
        <w:tc>
          <w:tcPr>
            <w:tcW w:w="1730" w:type="dxa"/>
          </w:tcPr>
          <w:p w14:paraId="113B7AA0" w14:textId="48CFB31B" w:rsidR="006316AD" w:rsidRPr="00B817D9" w:rsidRDefault="006316AD" w:rsidP="000B66BC">
            <w:pPr>
              <w:pStyle w:val="BodyText1"/>
              <w:spacing w:after="240"/>
              <w:rPr>
                <w:rFonts w:ascii="Times New Roman" w:hAnsi="Times New Roman"/>
                <w:bCs/>
                <w:sz w:val="24"/>
                <w:szCs w:val="24"/>
              </w:rPr>
            </w:pPr>
            <w:r w:rsidRPr="00B817D9">
              <w:rPr>
                <w:rFonts w:ascii="Times New Roman" w:hAnsi="Times New Roman"/>
                <w:sz w:val="24"/>
              </w:rPr>
              <w:t>{0070;0010}</w:t>
            </w:r>
          </w:p>
        </w:tc>
        <w:tc>
          <w:tcPr>
            <w:tcW w:w="7308" w:type="dxa"/>
          </w:tcPr>
          <w:p w14:paraId="31DC1601" w14:textId="21841B47" w:rsidR="006316AD" w:rsidRPr="00B817D9" w:rsidRDefault="006316AD"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Instytucja</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pub</w:t>
            </w:r>
            <w:r w:rsidRPr="00B817D9">
              <w:rPr>
                <w:rFonts w:ascii="Times New Roman" w:hAnsi="Times New Roman"/>
                <w:b/>
                <w:sz w:val="24"/>
              </w:rPr>
              <w:t>liczną jednostką wspierającą rozwój</w:t>
            </w:r>
          </w:p>
          <w:p w14:paraId="6D39363C" w14:textId="06B12418" w:rsidR="006316AD" w:rsidRPr="00B817D9" w:rsidRDefault="006316AD"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niebędące publicznymi kredytowymi instytucjami wspierającymi rozwój określają, czy posiadają publiczną jednostkę wspierającą rozwój.</w:t>
            </w:r>
          </w:p>
        </w:tc>
      </w:tr>
      <w:tr w:rsidR="003A13D1" w:rsidRPr="00B817D9" w14:paraId="2CDC3E13" w14:textId="77777777" w:rsidTr="000B66BC">
        <w:tc>
          <w:tcPr>
            <w:tcW w:w="1730" w:type="dxa"/>
          </w:tcPr>
          <w:p w14:paraId="79D8D3BF" w14:textId="5989EBFA" w:rsidR="003A13D1" w:rsidRPr="00B817D9" w:rsidRDefault="003A13D1" w:rsidP="000B66BC">
            <w:pPr>
              <w:pStyle w:val="BodyText1"/>
              <w:spacing w:after="240"/>
              <w:rPr>
                <w:rFonts w:ascii="Times New Roman" w:hAnsi="Times New Roman"/>
                <w:bCs/>
                <w:sz w:val="24"/>
                <w:szCs w:val="24"/>
              </w:rPr>
            </w:pPr>
            <w:r w:rsidRPr="00B817D9">
              <w:rPr>
                <w:rFonts w:ascii="Times New Roman" w:hAnsi="Times New Roman"/>
                <w:sz w:val="24"/>
              </w:rPr>
              <w:lastRenderedPageBreak/>
              <w:t>{0080;0010},</w:t>
            </w:r>
          </w:p>
          <w:p w14:paraId="0E404C36" w14:textId="3C546BDB" w:rsidR="003A13D1" w:rsidRPr="00B817D9" w:rsidRDefault="003A13D1" w:rsidP="000B66BC">
            <w:pPr>
              <w:pStyle w:val="BodyText1"/>
              <w:spacing w:after="240"/>
              <w:rPr>
                <w:rFonts w:ascii="Times New Roman" w:hAnsi="Times New Roman"/>
                <w:bCs/>
                <w:sz w:val="24"/>
                <w:szCs w:val="24"/>
              </w:rPr>
            </w:pPr>
            <w:r w:rsidRPr="00B817D9">
              <w:rPr>
                <w:rFonts w:ascii="Times New Roman" w:hAnsi="Times New Roman"/>
                <w:sz w:val="24"/>
              </w:rPr>
              <w:t>{00090;0010},</w:t>
            </w:r>
          </w:p>
          <w:p w14:paraId="53B876FA" w14:textId="06E5D9AE" w:rsidR="003A13D1" w:rsidRPr="00B817D9" w:rsidRDefault="003A13D1" w:rsidP="000B66BC">
            <w:pPr>
              <w:pStyle w:val="BodyText1"/>
              <w:spacing w:after="240"/>
              <w:rPr>
                <w:rFonts w:ascii="Times New Roman" w:hAnsi="Times New Roman"/>
                <w:bCs/>
                <w:sz w:val="24"/>
                <w:szCs w:val="24"/>
              </w:rPr>
            </w:pPr>
            <w:r w:rsidRPr="00B817D9">
              <w:rPr>
                <w:rFonts w:ascii="Times New Roman" w:hAnsi="Times New Roman"/>
                <w:sz w:val="24"/>
              </w:rPr>
              <w:t>{0100;0010}</w:t>
            </w:r>
          </w:p>
        </w:tc>
        <w:tc>
          <w:tcPr>
            <w:tcW w:w="7308" w:type="dxa"/>
          </w:tcPr>
          <w:p w14:paraId="66B939F9" w14:textId="2BEBD171" w:rsidR="003A13D1" w:rsidRPr="00B817D9" w:rsidRDefault="003A13D1"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Podmiot udzielający gwarancji publicznej instytucji (jednostce) kredytowej wspierającej rozwój zgodnie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w:t>
            </w:r>
            <w:r w:rsidR="00B817D9" w:rsidRPr="00B817D9">
              <w:rPr>
                <w:rFonts w:ascii="Times New Roman" w:hAnsi="Times New Roman"/>
                <w:b/>
                <w:sz w:val="24"/>
              </w:rPr>
              <w:t> </w:t>
            </w:r>
            <w:r w:rsidRPr="00B817D9">
              <w:rPr>
                <w:rFonts w:ascii="Times New Roman" w:hAnsi="Times New Roman"/>
                <w:b/>
                <w:sz w:val="24"/>
              </w:rPr>
              <w:t>429a ust.</w:t>
            </w:r>
            <w:r w:rsidR="00B817D9" w:rsidRPr="00B817D9">
              <w:rPr>
                <w:rFonts w:ascii="Times New Roman" w:hAnsi="Times New Roman"/>
                <w:b/>
                <w:sz w:val="24"/>
              </w:rPr>
              <w:t> </w:t>
            </w:r>
            <w:r w:rsidRPr="00B817D9">
              <w:rPr>
                <w:rFonts w:ascii="Times New Roman" w:hAnsi="Times New Roman"/>
                <w:b/>
                <w:sz w:val="24"/>
              </w:rPr>
              <w:t>2 lit.</w:t>
            </w:r>
            <w:r w:rsidR="00B817D9" w:rsidRPr="00B817D9">
              <w:rPr>
                <w:rFonts w:ascii="Times New Roman" w:hAnsi="Times New Roman"/>
                <w:b/>
                <w:sz w:val="24"/>
              </w:rPr>
              <w:t> </w:t>
            </w:r>
            <w:r w:rsidRPr="00B817D9">
              <w:rPr>
                <w:rFonts w:ascii="Times New Roman" w:hAnsi="Times New Roman"/>
                <w:b/>
                <w:sz w:val="24"/>
              </w:rPr>
              <w:t>d) CRR: rząd centralny, samorząd regionalny, władze lokalne</w:t>
            </w:r>
          </w:p>
          <w:p w14:paraId="5D4C6A0E" w14:textId="404D2BB3" w:rsidR="00092325" w:rsidRPr="00B817D9" w:rsidRDefault="00092325" w:rsidP="000B66BC">
            <w:pPr>
              <w:pStyle w:val="BodyText1"/>
              <w:spacing w:after="240" w:line="240" w:lineRule="auto"/>
              <w:rPr>
                <w:rFonts w:ascii="Times New Roman" w:hAnsi="Times New Roman"/>
                <w:bCs/>
                <w:sz w:val="24"/>
                <w:szCs w:val="24"/>
              </w:rPr>
            </w:pPr>
            <w:r w:rsidRPr="00B817D9">
              <w:rPr>
                <w:rFonts w:ascii="Times New Roman" w:hAnsi="Times New Roman"/>
                <w:sz w:val="24"/>
              </w:rPr>
              <w:t>Instytucje będące publiczną kredytową instytucją wspierającą rozwój albo posiadające publiczną jednostkę wspierającą rozwój zgłaszają, czy otrzymały gwarancje od rządu centralnego, samorządu regionalnego czy władz lokalnych.</w:t>
            </w:r>
          </w:p>
          <w:p w14:paraId="493FBA55" w14:textId="2C13B146" w:rsidR="003B054D" w:rsidRPr="00B817D9" w:rsidRDefault="00092325"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wskazują „PRAWDA”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rszu odpowiadającym odpowiedniemu rodzajowi lub odpowiednim rodzajom dostawcy ochrony lub „FAŁSZ”</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każ</w:t>
            </w:r>
            <w:r w:rsidRPr="00B817D9">
              <w:rPr>
                <w:rFonts w:ascii="Times New Roman" w:hAnsi="Times New Roman"/>
                <w:sz w:val="24"/>
              </w:rPr>
              <w:t>dym innym przypadku.</w:t>
            </w:r>
          </w:p>
        </w:tc>
      </w:tr>
      <w:tr w:rsidR="00872B4A" w:rsidRPr="00B817D9" w14:paraId="7B661A02" w14:textId="77777777" w:rsidTr="000B66BC">
        <w:tc>
          <w:tcPr>
            <w:tcW w:w="1730" w:type="dxa"/>
          </w:tcPr>
          <w:p w14:paraId="184627A9" w14:textId="01E80B34" w:rsidR="00872B4A" w:rsidRPr="00B817D9" w:rsidRDefault="008551A7" w:rsidP="000B66BC">
            <w:pPr>
              <w:pStyle w:val="BodyText1"/>
              <w:spacing w:after="240"/>
              <w:rPr>
                <w:rFonts w:ascii="Times New Roman" w:hAnsi="Times New Roman"/>
                <w:bCs/>
                <w:sz w:val="24"/>
                <w:szCs w:val="24"/>
              </w:rPr>
            </w:pPr>
            <w:r w:rsidRPr="00B817D9">
              <w:rPr>
                <w:rFonts w:ascii="Times New Roman" w:hAnsi="Times New Roman"/>
                <w:sz w:val="24"/>
              </w:rPr>
              <w:t>{0080;0010}</w:t>
            </w:r>
          </w:p>
        </w:tc>
        <w:tc>
          <w:tcPr>
            <w:tcW w:w="7308" w:type="dxa"/>
          </w:tcPr>
          <w:p w14:paraId="763F7485" w14:textId="7D0968A1" w:rsidR="00B04A5F" w:rsidRPr="00B817D9" w:rsidRDefault="00B132DC"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Rząd centralny udzielający gwarancji publicznym instytucjom kredytowym wspierającym rozwój/jednostkom wspierającym rozwój</w:t>
            </w:r>
          </w:p>
        </w:tc>
      </w:tr>
      <w:tr w:rsidR="00B132DC" w:rsidRPr="00B817D9" w14:paraId="355B1E3D" w14:textId="77777777" w:rsidTr="000B66BC">
        <w:tc>
          <w:tcPr>
            <w:tcW w:w="1730" w:type="dxa"/>
          </w:tcPr>
          <w:p w14:paraId="1700BD22" w14:textId="1957DAF2" w:rsidR="00B132DC" w:rsidRPr="00B817D9" w:rsidRDefault="003A13D1" w:rsidP="000B66BC">
            <w:pPr>
              <w:pStyle w:val="BodyText1"/>
              <w:spacing w:after="240"/>
              <w:rPr>
                <w:rFonts w:ascii="Times New Roman" w:hAnsi="Times New Roman"/>
                <w:bCs/>
                <w:sz w:val="24"/>
                <w:szCs w:val="24"/>
              </w:rPr>
            </w:pPr>
            <w:r w:rsidRPr="00B817D9">
              <w:rPr>
                <w:rFonts w:ascii="Times New Roman" w:hAnsi="Times New Roman"/>
                <w:sz w:val="24"/>
              </w:rPr>
              <w:t>{0090;0010}</w:t>
            </w:r>
          </w:p>
        </w:tc>
        <w:tc>
          <w:tcPr>
            <w:tcW w:w="7308" w:type="dxa"/>
          </w:tcPr>
          <w:p w14:paraId="12648551" w14:textId="723AC193" w:rsidR="00B132DC" w:rsidRPr="00B817D9" w:rsidRDefault="000A5B0A"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Samorząd regionalny udzielający gwarancji publicznym instytucjom kredytowym wspierającym rozwój/jednostkom wspierającym rozwój</w:t>
            </w:r>
          </w:p>
        </w:tc>
      </w:tr>
      <w:tr w:rsidR="00B132DC" w:rsidRPr="00B817D9" w14:paraId="261210F5" w14:textId="77777777" w:rsidTr="000B66BC">
        <w:tc>
          <w:tcPr>
            <w:tcW w:w="1730" w:type="dxa"/>
          </w:tcPr>
          <w:p w14:paraId="03A3CB47" w14:textId="5C79DC97" w:rsidR="00B132DC" w:rsidRPr="00B817D9" w:rsidRDefault="003A13D1" w:rsidP="000B66BC">
            <w:pPr>
              <w:pStyle w:val="BodyText1"/>
              <w:spacing w:after="240"/>
              <w:rPr>
                <w:rFonts w:ascii="Times New Roman" w:hAnsi="Times New Roman"/>
                <w:bCs/>
                <w:sz w:val="24"/>
                <w:szCs w:val="24"/>
              </w:rPr>
            </w:pPr>
            <w:r w:rsidRPr="00B817D9">
              <w:rPr>
                <w:rFonts w:ascii="Times New Roman" w:hAnsi="Times New Roman"/>
                <w:sz w:val="24"/>
              </w:rPr>
              <w:t>{0100;0010}</w:t>
            </w:r>
          </w:p>
        </w:tc>
        <w:tc>
          <w:tcPr>
            <w:tcW w:w="7308" w:type="dxa"/>
          </w:tcPr>
          <w:p w14:paraId="3DBA105A" w14:textId="07763F33" w:rsidR="00B132DC" w:rsidRPr="00B817D9" w:rsidRDefault="004D70D0"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Władze lokalne udzielające gwarancji publicznym instytucjom kredytowym wspierającym rozwój/jednostkom wspierającym rozwój</w:t>
            </w:r>
          </w:p>
        </w:tc>
      </w:tr>
      <w:tr w:rsidR="003B054D" w:rsidRPr="00B817D9" w14:paraId="34258127" w14:textId="77777777" w:rsidTr="000B66BC">
        <w:tc>
          <w:tcPr>
            <w:tcW w:w="1730" w:type="dxa"/>
          </w:tcPr>
          <w:p w14:paraId="35F9E1F6" w14:textId="4B3A5235" w:rsidR="003B054D" w:rsidRPr="00B817D9" w:rsidRDefault="00F966CA" w:rsidP="000B66BC">
            <w:pPr>
              <w:pStyle w:val="BodyText1"/>
              <w:spacing w:after="240"/>
              <w:rPr>
                <w:rFonts w:ascii="Times New Roman" w:hAnsi="Times New Roman"/>
                <w:bCs/>
                <w:sz w:val="24"/>
                <w:szCs w:val="24"/>
              </w:rPr>
            </w:pPr>
            <w:r w:rsidRPr="00B817D9">
              <w:rPr>
                <w:rFonts w:ascii="Times New Roman" w:hAnsi="Times New Roman"/>
                <w:sz w:val="24"/>
              </w:rPr>
              <w:t>{0110;0010};</w:t>
            </w:r>
          </w:p>
          <w:p w14:paraId="4E5E6B84" w14:textId="41699235" w:rsidR="00F966CA" w:rsidRPr="00B817D9" w:rsidRDefault="00F966CA" w:rsidP="000B66BC">
            <w:pPr>
              <w:pStyle w:val="BodyText1"/>
              <w:spacing w:after="240"/>
              <w:rPr>
                <w:rFonts w:ascii="Times New Roman" w:hAnsi="Times New Roman"/>
                <w:bCs/>
                <w:sz w:val="24"/>
                <w:szCs w:val="24"/>
              </w:rPr>
            </w:pPr>
            <w:r w:rsidRPr="00B817D9">
              <w:rPr>
                <w:rFonts w:ascii="Times New Roman" w:hAnsi="Times New Roman"/>
                <w:sz w:val="24"/>
              </w:rPr>
              <w:t>{0120;0010};</w:t>
            </w:r>
          </w:p>
          <w:p w14:paraId="174F75EE" w14:textId="42C2EAF1" w:rsidR="00F966CA" w:rsidRPr="00B817D9" w:rsidRDefault="00F966CA" w:rsidP="000B66BC">
            <w:pPr>
              <w:pStyle w:val="BodyText1"/>
              <w:spacing w:after="240"/>
              <w:rPr>
                <w:rFonts w:ascii="Times New Roman" w:hAnsi="Times New Roman"/>
                <w:bCs/>
                <w:sz w:val="24"/>
                <w:szCs w:val="24"/>
              </w:rPr>
            </w:pPr>
            <w:r w:rsidRPr="00B817D9">
              <w:rPr>
                <w:rFonts w:ascii="Times New Roman" w:hAnsi="Times New Roman"/>
                <w:sz w:val="24"/>
              </w:rPr>
              <w:t>{0130;0010}</w:t>
            </w:r>
          </w:p>
        </w:tc>
        <w:tc>
          <w:tcPr>
            <w:tcW w:w="7308" w:type="dxa"/>
          </w:tcPr>
          <w:p w14:paraId="5E6BF02B" w14:textId="18684118" w:rsidR="003B054D" w:rsidRPr="00B817D9" w:rsidRDefault="003B054D"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Rodzaj gwarancji otrzymanej zgodnie</w:t>
            </w:r>
            <w:r w:rsidR="00B817D9" w:rsidRPr="00B817D9">
              <w:rPr>
                <w:rFonts w:ascii="Times New Roman" w:hAnsi="Times New Roman"/>
                <w:b/>
                <w:sz w:val="24"/>
              </w:rPr>
              <w:t xml:space="preserve"> z</w:t>
            </w:r>
            <w:r w:rsidR="00B817D9">
              <w:rPr>
                <w:rFonts w:ascii="Times New Roman" w:hAnsi="Times New Roman"/>
                <w:b/>
                <w:sz w:val="24"/>
              </w:rPr>
              <w:t> </w:t>
            </w:r>
            <w:r w:rsidR="00B817D9" w:rsidRPr="00B817D9">
              <w:rPr>
                <w:rFonts w:ascii="Times New Roman" w:hAnsi="Times New Roman"/>
                <w:b/>
                <w:sz w:val="24"/>
              </w:rPr>
              <w:t>art</w:t>
            </w:r>
            <w:r w:rsidRPr="00B817D9">
              <w:rPr>
                <w:rFonts w:ascii="Times New Roman" w:hAnsi="Times New Roman"/>
                <w:b/>
                <w:sz w:val="24"/>
              </w:rPr>
              <w:t>.</w:t>
            </w:r>
            <w:r w:rsidR="00B817D9" w:rsidRPr="00B817D9">
              <w:rPr>
                <w:rFonts w:ascii="Times New Roman" w:hAnsi="Times New Roman"/>
                <w:b/>
                <w:sz w:val="24"/>
              </w:rPr>
              <w:t> </w:t>
            </w:r>
            <w:r w:rsidRPr="00B817D9">
              <w:rPr>
                <w:rFonts w:ascii="Times New Roman" w:hAnsi="Times New Roman"/>
                <w:b/>
                <w:sz w:val="24"/>
              </w:rPr>
              <w:t>429a ust.</w:t>
            </w:r>
            <w:r w:rsidR="00B817D9" w:rsidRPr="00B817D9">
              <w:rPr>
                <w:rFonts w:ascii="Times New Roman" w:hAnsi="Times New Roman"/>
                <w:b/>
                <w:sz w:val="24"/>
              </w:rPr>
              <w:t> </w:t>
            </w:r>
            <w:r w:rsidRPr="00B817D9">
              <w:rPr>
                <w:rFonts w:ascii="Times New Roman" w:hAnsi="Times New Roman"/>
                <w:b/>
                <w:sz w:val="24"/>
              </w:rPr>
              <w:t>2 lit.</w:t>
            </w:r>
            <w:r w:rsidR="00B817D9" w:rsidRPr="00B817D9">
              <w:rPr>
                <w:rFonts w:ascii="Times New Roman" w:hAnsi="Times New Roman"/>
                <w:b/>
                <w:sz w:val="24"/>
              </w:rPr>
              <w:t> </w:t>
            </w:r>
            <w:r w:rsidRPr="00B817D9">
              <w:rPr>
                <w:rFonts w:ascii="Times New Roman" w:hAnsi="Times New Roman"/>
                <w:b/>
                <w:sz w:val="24"/>
              </w:rPr>
              <w:t>d) CRR</w:t>
            </w:r>
          </w:p>
          <w:p w14:paraId="6AD424FF" w14:textId="63E03310" w:rsidR="003B054D" w:rsidRPr="00B817D9" w:rsidRDefault="003B054D"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będące publiczną kredytową instytucją wspierającą rozwój albo posiadające publiczną jednostkę wspierającą rozwój zgłaszają rodzaj otrzymanej ochrony.</w:t>
            </w:r>
          </w:p>
          <w:p w14:paraId="70381FB6" w14:textId="325570FC" w:rsidR="003B054D" w:rsidRPr="00B817D9" w:rsidRDefault="003B054D" w:rsidP="000B66BC">
            <w:pPr>
              <w:pStyle w:val="BodyText1"/>
              <w:spacing w:after="240" w:line="240" w:lineRule="auto"/>
              <w:rPr>
                <w:rFonts w:ascii="Times New Roman" w:hAnsi="Times New Roman"/>
                <w:b/>
                <w:bCs/>
                <w:sz w:val="24"/>
                <w:szCs w:val="24"/>
              </w:rPr>
            </w:pPr>
            <w:r w:rsidRPr="00B817D9">
              <w:rPr>
                <w:rFonts w:ascii="Times New Roman" w:hAnsi="Times New Roman"/>
                <w:sz w:val="24"/>
              </w:rPr>
              <w:t>Instytucje wskazują „PRAWDA”</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rszu odpowiadającym odpowiedniemu rodzajowi lub odpowiednim rodzajom ochrony lub „FAŁSZ”</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każ</w:t>
            </w:r>
            <w:r w:rsidRPr="00B817D9">
              <w:rPr>
                <w:rFonts w:ascii="Times New Roman" w:hAnsi="Times New Roman"/>
                <w:sz w:val="24"/>
              </w:rPr>
              <w:t>dym innym przypadku.</w:t>
            </w:r>
          </w:p>
        </w:tc>
      </w:tr>
      <w:tr w:rsidR="004D70D0" w:rsidRPr="00B817D9" w14:paraId="049655D5" w14:textId="77777777" w:rsidTr="000B66BC">
        <w:tc>
          <w:tcPr>
            <w:tcW w:w="1730" w:type="dxa"/>
          </w:tcPr>
          <w:p w14:paraId="1DD88EB6" w14:textId="02D4AA7C" w:rsidR="004D70D0" w:rsidRPr="00B817D9" w:rsidRDefault="00F966CA" w:rsidP="000B66BC">
            <w:pPr>
              <w:pStyle w:val="BodyText1"/>
              <w:spacing w:after="240"/>
              <w:rPr>
                <w:rFonts w:ascii="Times New Roman" w:hAnsi="Times New Roman"/>
                <w:bCs/>
                <w:sz w:val="24"/>
                <w:szCs w:val="24"/>
              </w:rPr>
            </w:pPr>
            <w:r w:rsidRPr="00B817D9">
              <w:rPr>
                <w:rFonts w:ascii="Times New Roman" w:hAnsi="Times New Roman"/>
                <w:sz w:val="24"/>
              </w:rPr>
              <w:t>{0110;0010}</w:t>
            </w:r>
          </w:p>
        </w:tc>
        <w:tc>
          <w:tcPr>
            <w:tcW w:w="7308" w:type="dxa"/>
          </w:tcPr>
          <w:p w14:paraId="29D5A7E2" w14:textId="34B8184D" w:rsidR="004D70D0" w:rsidRPr="00B817D9" w:rsidRDefault="004D70D0"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Obowiązek ochrony rentowności instytucji kredytowych</w:t>
            </w:r>
          </w:p>
        </w:tc>
      </w:tr>
      <w:tr w:rsidR="004D70D0" w:rsidRPr="00B817D9" w14:paraId="4796D2E1" w14:textId="77777777" w:rsidTr="000B66BC">
        <w:tc>
          <w:tcPr>
            <w:tcW w:w="1730" w:type="dxa"/>
          </w:tcPr>
          <w:p w14:paraId="16677FDC" w14:textId="37E0FCCD" w:rsidR="004D70D0" w:rsidRPr="00B817D9" w:rsidRDefault="00F966CA" w:rsidP="000B66BC">
            <w:pPr>
              <w:pStyle w:val="BodyText1"/>
              <w:spacing w:after="240"/>
              <w:rPr>
                <w:rFonts w:ascii="Times New Roman" w:hAnsi="Times New Roman"/>
                <w:bCs/>
                <w:sz w:val="24"/>
                <w:szCs w:val="24"/>
              </w:rPr>
            </w:pPr>
            <w:r w:rsidRPr="00B817D9">
              <w:rPr>
                <w:rFonts w:ascii="Times New Roman" w:hAnsi="Times New Roman"/>
                <w:sz w:val="24"/>
              </w:rPr>
              <w:t>{0120;0010}</w:t>
            </w:r>
          </w:p>
        </w:tc>
        <w:tc>
          <w:tcPr>
            <w:tcW w:w="7308" w:type="dxa"/>
          </w:tcPr>
          <w:p w14:paraId="01E19ED4" w14:textId="5C727676" w:rsidR="00F966CA" w:rsidRPr="00B817D9" w:rsidRDefault="004D70D0"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Bezpośrednia gwarancja wymogów</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zak</w:t>
            </w:r>
            <w:r w:rsidRPr="00B817D9">
              <w:rPr>
                <w:rFonts w:ascii="Times New Roman" w:hAnsi="Times New Roman"/>
                <w:b/>
                <w:sz w:val="24"/>
              </w:rPr>
              <w:t>resie funduszy własnych instytucji kredytowych, ich wymogów dotyczących finansowania lub przyznanych kredytów preferencyjnych</w:t>
            </w:r>
          </w:p>
        </w:tc>
      </w:tr>
      <w:tr w:rsidR="004D70D0" w:rsidRPr="00B817D9" w14:paraId="5FD34A30" w14:textId="77777777" w:rsidTr="000B66BC">
        <w:tc>
          <w:tcPr>
            <w:tcW w:w="1730" w:type="dxa"/>
          </w:tcPr>
          <w:p w14:paraId="0024CD7F" w14:textId="224F79CB" w:rsidR="004D70D0" w:rsidRPr="00B817D9" w:rsidRDefault="00F966CA" w:rsidP="000B66BC">
            <w:pPr>
              <w:pStyle w:val="BodyText1"/>
              <w:spacing w:after="240"/>
              <w:rPr>
                <w:rFonts w:ascii="Times New Roman" w:hAnsi="Times New Roman"/>
                <w:bCs/>
                <w:sz w:val="24"/>
                <w:szCs w:val="24"/>
              </w:rPr>
            </w:pPr>
            <w:r w:rsidRPr="00B817D9">
              <w:rPr>
                <w:rFonts w:ascii="Times New Roman" w:hAnsi="Times New Roman"/>
                <w:sz w:val="24"/>
              </w:rPr>
              <w:t>{0130;0010}</w:t>
            </w:r>
          </w:p>
        </w:tc>
        <w:tc>
          <w:tcPr>
            <w:tcW w:w="7308" w:type="dxa"/>
          </w:tcPr>
          <w:p w14:paraId="6809ECEE" w14:textId="2D192425" w:rsidR="002C169A" w:rsidRPr="00B817D9" w:rsidRDefault="004D70D0" w:rsidP="000B66BC">
            <w:pPr>
              <w:pStyle w:val="BodyText1"/>
              <w:spacing w:after="240" w:line="240" w:lineRule="auto"/>
              <w:rPr>
                <w:rFonts w:ascii="Times New Roman" w:hAnsi="Times New Roman"/>
                <w:b/>
                <w:bCs/>
                <w:sz w:val="24"/>
                <w:szCs w:val="24"/>
              </w:rPr>
            </w:pPr>
            <w:r w:rsidRPr="00B817D9">
              <w:rPr>
                <w:rFonts w:ascii="Times New Roman" w:hAnsi="Times New Roman"/>
                <w:b/>
                <w:sz w:val="24"/>
              </w:rPr>
              <w:t>Pośrednia gwarancja wymogów</w:t>
            </w:r>
            <w:r w:rsidR="00B817D9" w:rsidRPr="00B817D9">
              <w:rPr>
                <w:rFonts w:ascii="Times New Roman" w:hAnsi="Times New Roman"/>
                <w:b/>
                <w:sz w:val="24"/>
              </w:rPr>
              <w:t xml:space="preserve"> w</w:t>
            </w:r>
            <w:r w:rsidR="00B817D9">
              <w:rPr>
                <w:rFonts w:ascii="Times New Roman" w:hAnsi="Times New Roman"/>
                <w:b/>
                <w:sz w:val="24"/>
              </w:rPr>
              <w:t> </w:t>
            </w:r>
            <w:r w:rsidR="00B817D9" w:rsidRPr="00B817D9">
              <w:rPr>
                <w:rFonts w:ascii="Times New Roman" w:hAnsi="Times New Roman"/>
                <w:b/>
                <w:sz w:val="24"/>
              </w:rPr>
              <w:t>zak</w:t>
            </w:r>
            <w:r w:rsidRPr="00B817D9">
              <w:rPr>
                <w:rFonts w:ascii="Times New Roman" w:hAnsi="Times New Roman"/>
                <w:b/>
                <w:sz w:val="24"/>
              </w:rPr>
              <w:t>resie funduszy własnych instytucji kredytowych, ich wymogów dotyczących finansowania lub przyznanych kredytów preferencyjnych</w:t>
            </w:r>
          </w:p>
        </w:tc>
      </w:tr>
    </w:tbl>
    <w:p w14:paraId="47D20A93" w14:textId="77777777" w:rsidR="00565261" w:rsidRPr="00B817D9" w:rsidRDefault="00565261" w:rsidP="000B66BC">
      <w:pPr>
        <w:pStyle w:val="BodyText1"/>
        <w:spacing w:after="240"/>
        <w:ind w:left="567"/>
        <w:rPr>
          <w:rFonts w:ascii="Times New Roman" w:hAnsi="Times New Roman"/>
          <w:sz w:val="24"/>
          <w:szCs w:val="24"/>
        </w:rPr>
      </w:pPr>
    </w:p>
    <w:p w14:paraId="0E59FFDF" w14:textId="35DCDD76" w:rsidR="00700DB7" w:rsidRPr="00B817D9" w:rsidRDefault="005F4574" w:rsidP="000B66BC">
      <w:pPr>
        <w:pStyle w:val="BodyText1"/>
        <w:spacing w:after="240"/>
        <w:ind w:left="357" w:hanging="357"/>
        <w:outlineLvl w:val="1"/>
        <w:rPr>
          <w:rFonts w:ascii="Times New Roman" w:hAnsi="Times New Roman"/>
          <w:b/>
          <w:sz w:val="24"/>
          <w:szCs w:val="24"/>
        </w:rPr>
      </w:pPr>
      <w:bookmarkStart w:id="78" w:name="_Toc188604488"/>
      <w:r w:rsidRPr="00B817D9">
        <w:rPr>
          <w:rFonts w:ascii="Times New Roman" w:hAnsi="Times New Roman"/>
          <w:b/>
          <w:sz w:val="24"/>
        </w:rPr>
        <w:t>7.</w:t>
      </w:r>
      <w:r w:rsidRPr="00B817D9">
        <w:tab/>
      </w:r>
      <w:r w:rsidRPr="00B817D9">
        <w:rPr>
          <w:rFonts w:ascii="Times New Roman" w:hAnsi="Times New Roman"/>
          <w:b/>
          <w:sz w:val="24"/>
        </w:rPr>
        <w:t>C 48.00 Zmienność wskaźnika dźwigni (LR6)</w:t>
      </w:r>
      <w:bookmarkEnd w:id="78"/>
    </w:p>
    <w:p w14:paraId="4D3787F1" w14:textId="2C3256EB" w:rsidR="00700DB7" w:rsidRPr="00B817D9" w:rsidRDefault="00143C6A"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29.</w:t>
      </w:r>
      <w:r w:rsidRPr="00B817D9">
        <w:tab/>
      </w:r>
      <w:r w:rsidRPr="00B817D9">
        <w:rPr>
          <w:rFonts w:ascii="Times New Roman" w:hAnsi="Times New Roman"/>
          <w:sz w:val="24"/>
        </w:rPr>
        <w:t xml:space="preserve">Informacje są gromadzone do celów monitorowania zmienności wskaźnika dźwigni. Informacje zgłaszają wyłącznie duże instytucje. </w:t>
      </w:r>
    </w:p>
    <w:p w14:paraId="16B16093" w14:textId="5ABFB2E9" w:rsidR="000472E7" w:rsidRPr="00B817D9" w:rsidRDefault="005F4574" w:rsidP="000B66BC">
      <w:pPr>
        <w:pStyle w:val="BodyText1"/>
        <w:spacing w:after="240"/>
        <w:ind w:left="357" w:hanging="357"/>
        <w:outlineLvl w:val="1"/>
        <w:rPr>
          <w:rFonts w:ascii="Times New Roman" w:hAnsi="Times New Roman"/>
          <w:b/>
          <w:sz w:val="24"/>
          <w:szCs w:val="24"/>
        </w:rPr>
      </w:pPr>
      <w:bookmarkStart w:id="79" w:name="_Toc188604489"/>
      <w:r w:rsidRPr="00B817D9">
        <w:rPr>
          <w:rFonts w:ascii="Times New Roman" w:hAnsi="Times New Roman"/>
          <w:b/>
          <w:sz w:val="24"/>
        </w:rPr>
        <w:t>8.</w:t>
      </w:r>
      <w:r w:rsidRPr="00B817D9">
        <w:tab/>
      </w:r>
      <w:r w:rsidRPr="00B817D9">
        <w:rPr>
          <w:rFonts w:ascii="Times New Roman" w:hAnsi="Times New Roman"/>
          <w:b/>
          <w:sz w:val="24"/>
        </w:rPr>
        <w:t>C 48.01 Zmienność wskaźnika dźwigni: średnia wartość dla okresu sprawozdawczego</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B817D9"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B817D9" w:rsidRDefault="001D7541" w:rsidP="000B66BC">
            <w:pPr>
              <w:pStyle w:val="BodyText1"/>
              <w:spacing w:after="240"/>
              <w:rPr>
                <w:rFonts w:ascii="Times New Roman" w:hAnsi="Times New Roman"/>
                <w:b/>
                <w:bCs/>
                <w:sz w:val="24"/>
                <w:szCs w:val="24"/>
              </w:rPr>
            </w:pPr>
            <w:r w:rsidRPr="00B817D9">
              <w:rPr>
                <w:rFonts w:ascii="Times New Roman" w:hAnsi="Times New Roman"/>
                <w:b/>
                <w:sz w:val="24"/>
              </w:rPr>
              <w:lastRenderedPageBreak/>
              <w:t xml:space="preserve">Wiersz </w:t>
            </w:r>
          </w:p>
          <w:p w14:paraId="188CF35D" w14:textId="77777777" w:rsidR="001D7541" w:rsidRPr="00B817D9" w:rsidRDefault="001D7541" w:rsidP="000B66BC">
            <w:pPr>
              <w:pStyle w:val="BodyText1"/>
              <w:spacing w:after="240"/>
              <w:rPr>
                <w:rFonts w:ascii="Times New Roman" w:hAnsi="Times New Roman"/>
                <w:bCs/>
                <w:sz w:val="24"/>
                <w:szCs w:val="24"/>
              </w:rPr>
            </w:pPr>
            <w:r w:rsidRPr="00B817D9">
              <w:rPr>
                <w:rFonts w:ascii="Times New Roman" w:hAnsi="Times New Roman"/>
                <w:b/>
                <w:sz w:val="24"/>
              </w:rPr>
              <w:t>i kolumna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B817D9" w:rsidRDefault="00697380" w:rsidP="000B66BC">
            <w:pPr>
              <w:pStyle w:val="BodyText1"/>
              <w:spacing w:after="240" w:line="240" w:lineRule="auto"/>
              <w:rPr>
                <w:rFonts w:ascii="Times New Roman" w:hAnsi="Times New Roman"/>
                <w:b/>
                <w:color w:val="auto"/>
                <w:sz w:val="24"/>
                <w:szCs w:val="24"/>
              </w:rPr>
            </w:pPr>
            <w:r w:rsidRPr="00B817D9">
              <w:rPr>
                <w:rFonts w:ascii="Times New Roman" w:hAnsi="Times New Roman"/>
                <w:b/>
                <w:sz w:val="24"/>
              </w:rPr>
              <w:t>Instrukcje</w:t>
            </w:r>
          </w:p>
        </w:tc>
      </w:tr>
      <w:tr w:rsidR="001D7541" w:rsidRPr="00B817D9"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B817D9" w:rsidRDefault="001D7541" w:rsidP="000B66BC">
            <w:pPr>
              <w:pStyle w:val="BodyText1"/>
              <w:spacing w:after="240"/>
              <w:rPr>
                <w:rFonts w:ascii="Times New Roman" w:hAnsi="Times New Roman"/>
                <w:bCs/>
                <w:sz w:val="24"/>
                <w:szCs w:val="24"/>
              </w:rPr>
            </w:pPr>
            <w:r w:rsidRPr="00B817D9">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42A3D2B" w:rsidR="001D7541" w:rsidRPr="00B817D9" w:rsidRDefault="001D7541"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Średnia wartość</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okr</w:t>
            </w:r>
            <w:r w:rsidRPr="00B817D9">
              <w:rPr>
                <w:rFonts w:ascii="Times New Roman" w:hAnsi="Times New Roman"/>
                <w:b/>
                <w:color w:val="auto"/>
                <w:sz w:val="24"/>
              </w:rPr>
              <w:t>esie sprawozdawczym – wartość ekspozycji</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ułu SFT</w:t>
            </w:r>
          </w:p>
          <w:p w14:paraId="27CD001D" w14:textId="04E1F22A" w:rsidR="001D7541" w:rsidRPr="00B817D9" w:rsidRDefault="005E0E4A" w:rsidP="000B66BC">
            <w:pPr>
              <w:pStyle w:val="BodyText1"/>
              <w:spacing w:after="240" w:line="240" w:lineRule="auto"/>
              <w:rPr>
                <w:rFonts w:ascii="Times New Roman" w:hAnsi="Times New Roman"/>
                <w:color w:val="auto"/>
                <w:sz w:val="24"/>
                <w:szCs w:val="24"/>
                <w:u w:val="single"/>
              </w:rPr>
            </w:pPr>
            <w:r w:rsidRPr="00B817D9">
              <w:rPr>
                <w:rFonts w:ascii="Times New Roman" w:hAnsi="Times New Roman"/>
                <w:color w:val="auto"/>
                <w:sz w:val="24"/>
              </w:rPr>
              <w:t>Instytucje zgłaszają średnie dzienne wartości</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kwa</w:t>
            </w:r>
            <w:r w:rsidRPr="00B817D9">
              <w:rPr>
                <w:rFonts w:ascii="Times New Roman" w:hAnsi="Times New Roman"/>
                <w:color w:val="auto"/>
                <w:sz w:val="24"/>
              </w:rPr>
              <w:t>rtale sprawozdawczym dotyczące wartości ekspozycji</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tyt</w:t>
            </w:r>
            <w:r w:rsidRPr="00B817D9">
              <w:rPr>
                <w:rFonts w:ascii="Times New Roman" w:hAnsi="Times New Roman"/>
                <w:color w:val="auto"/>
                <w:sz w:val="24"/>
              </w:rPr>
              <w:t>ułu SFT pomniejszonych</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wył</w:t>
            </w:r>
            <w:r w:rsidRPr="00B817D9">
              <w:rPr>
                <w:rFonts w:ascii="Times New Roman" w:hAnsi="Times New Roman"/>
                <w:color w:val="auto"/>
                <w:sz w:val="24"/>
              </w:rPr>
              <w:t>ączone ekspozycje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tyt</w:t>
            </w:r>
            <w:r w:rsidRPr="00B817D9">
              <w:rPr>
                <w:rFonts w:ascii="Times New Roman" w:hAnsi="Times New Roman"/>
                <w:color w:val="auto"/>
                <w:sz w:val="24"/>
              </w:rPr>
              <w:t>ułu transakcji rozliczanych za pośrednictwem klienta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odn</w:t>
            </w:r>
            <w:r w:rsidRPr="00B817D9">
              <w:rPr>
                <w:rFonts w:ascii="Times New Roman" w:hAnsi="Times New Roman"/>
                <w:color w:val="auto"/>
                <w:sz w:val="24"/>
              </w:rPr>
              <w:t>iesieniu do składnika rozliczanego</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kon</w:t>
            </w:r>
            <w:r w:rsidRPr="00B817D9">
              <w:rPr>
                <w:rFonts w:ascii="Times New Roman" w:hAnsi="Times New Roman"/>
                <w:color w:val="auto"/>
                <w:sz w:val="24"/>
              </w:rPr>
              <w:t>trahentem centralnym określone</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rszach 0010</w:t>
            </w:r>
            <w:r w:rsidR="00B817D9" w:rsidRPr="00B817D9">
              <w:rPr>
                <w:rFonts w:ascii="Times New Roman" w:hAnsi="Times New Roman"/>
                <w:color w:val="auto"/>
                <w:sz w:val="24"/>
              </w:rPr>
              <w:t xml:space="preserve"> i</w:t>
            </w:r>
            <w:r w:rsidR="00B817D9">
              <w:rPr>
                <w:rFonts w:ascii="Times New Roman" w:hAnsi="Times New Roman"/>
                <w:color w:val="auto"/>
                <w:sz w:val="24"/>
              </w:rPr>
              <w:t> </w:t>
            </w:r>
            <w:r w:rsidR="00B817D9" w:rsidRPr="00B817D9">
              <w:rPr>
                <w:rFonts w:ascii="Times New Roman" w:hAnsi="Times New Roman"/>
                <w:color w:val="auto"/>
                <w:sz w:val="24"/>
              </w:rPr>
              <w:t>0</w:t>
            </w:r>
            <w:r w:rsidRPr="00B817D9">
              <w:rPr>
                <w:rFonts w:ascii="Times New Roman" w:hAnsi="Times New Roman"/>
                <w:color w:val="auto"/>
                <w:sz w:val="24"/>
              </w:rPr>
              <w:t>050 wzoru C47.00.</w:t>
            </w:r>
          </w:p>
        </w:tc>
      </w:tr>
      <w:tr w:rsidR="001D7541" w:rsidRPr="00B817D9"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B817D9" w:rsidRDefault="001D7541" w:rsidP="000B66BC">
            <w:pPr>
              <w:pStyle w:val="BodyText1"/>
              <w:spacing w:after="240"/>
              <w:rPr>
                <w:rFonts w:ascii="Times New Roman" w:hAnsi="Times New Roman"/>
                <w:bCs/>
                <w:sz w:val="24"/>
                <w:szCs w:val="24"/>
              </w:rPr>
            </w:pPr>
            <w:r w:rsidRPr="00B817D9">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3A8BDF2C" w:rsidR="001D7541" w:rsidRPr="00B817D9" w:rsidRDefault="001D7541"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Średnia wartość</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okr</w:t>
            </w:r>
            <w:r w:rsidRPr="00B817D9">
              <w:rPr>
                <w:rFonts w:ascii="Times New Roman" w:hAnsi="Times New Roman"/>
                <w:b/>
                <w:color w:val="auto"/>
                <w:sz w:val="24"/>
              </w:rPr>
              <w:t>esie sprawozdawczym – korekty</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 xml:space="preserve">ułu księgowych SFT dotyczących sprzedaży </w:t>
            </w:r>
          </w:p>
          <w:p w14:paraId="53B119C8" w14:textId="2FC0AB25" w:rsidR="001D7541" w:rsidRPr="00B817D9" w:rsidRDefault="005E0E4A" w:rsidP="000B66BC">
            <w:pPr>
              <w:pStyle w:val="BodyText1"/>
              <w:spacing w:after="240" w:line="240" w:lineRule="auto"/>
              <w:rPr>
                <w:rFonts w:ascii="Times New Roman" w:hAnsi="Times New Roman"/>
                <w:color w:val="auto"/>
                <w:sz w:val="24"/>
                <w:szCs w:val="24"/>
                <w:u w:val="single"/>
              </w:rPr>
            </w:pPr>
            <w:r w:rsidRPr="00B817D9">
              <w:rPr>
                <w:rFonts w:ascii="Times New Roman" w:hAnsi="Times New Roman"/>
                <w:sz w:val="24"/>
              </w:rPr>
              <w:t>Instytucje zgłaszają średnie dzienne wartości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kwa</w:t>
            </w:r>
            <w:r w:rsidRPr="00B817D9">
              <w:rPr>
                <w:rFonts w:ascii="Times New Roman" w:hAnsi="Times New Roman"/>
                <w:sz w:val="24"/>
              </w:rPr>
              <w:t>rtale sprawozdawczym dotyczące korekt</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księgowych SFT dotyczących sprzedaży określonych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rszu 0230 wzoru C47.00.</w:t>
            </w:r>
          </w:p>
        </w:tc>
      </w:tr>
    </w:tbl>
    <w:p w14:paraId="74866056" w14:textId="69DED7CA" w:rsidR="000472E7" w:rsidRPr="00B817D9" w:rsidRDefault="000472E7" w:rsidP="000B66BC">
      <w:pPr>
        <w:pStyle w:val="BodyText1"/>
        <w:spacing w:after="240"/>
        <w:ind w:left="567"/>
        <w:rPr>
          <w:rFonts w:ascii="Times New Roman" w:hAnsi="Times New Roman"/>
          <w:sz w:val="24"/>
          <w:szCs w:val="24"/>
        </w:rPr>
      </w:pPr>
    </w:p>
    <w:p w14:paraId="622AB7C1" w14:textId="0B8B7A60" w:rsidR="001D7541" w:rsidRPr="00B817D9" w:rsidRDefault="005F4574" w:rsidP="000B66BC">
      <w:pPr>
        <w:pStyle w:val="BodyText1"/>
        <w:spacing w:after="240"/>
        <w:ind w:left="357" w:hanging="357"/>
        <w:outlineLvl w:val="1"/>
        <w:rPr>
          <w:rFonts w:ascii="Times New Roman" w:hAnsi="Times New Roman"/>
          <w:b/>
          <w:sz w:val="24"/>
          <w:szCs w:val="24"/>
        </w:rPr>
      </w:pPr>
      <w:bookmarkStart w:id="80" w:name="_Toc188604490"/>
      <w:r w:rsidRPr="00B817D9">
        <w:rPr>
          <w:rFonts w:ascii="Times New Roman" w:hAnsi="Times New Roman"/>
          <w:b/>
          <w:sz w:val="24"/>
        </w:rPr>
        <w:t>9.</w:t>
      </w:r>
      <w:r w:rsidRPr="00B817D9">
        <w:tab/>
      </w:r>
      <w:r w:rsidRPr="00B817D9">
        <w:rPr>
          <w:rFonts w:ascii="Times New Roman" w:hAnsi="Times New Roman"/>
          <w:b/>
          <w:sz w:val="24"/>
        </w:rPr>
        <w:t>C 48.02 – Zmienność wskaźnika dźwigni: dzienne wartości dla okresu sprawozdawczego</w:t>
      </w:r>
      <w:bookmarkEnd w:id="80"/>
    </w:p>
    <w:p w14:paraId="1BD85257" w14:textId="38D419A9" w:rsidR="001D7541" w:rsidRPr="00B817D9" w:rsidRDefault="00FA475C" w:rsidP="000B66BC">
      <w:pPr>
        <w:pStyle w:val="BodyText1"/>
        <w:spacing w:after="240" w:line="240" w:lineRule="auto"/>
        <w:ind w:left="720" w:hanging="360"/>
        <w:rPr>
          <w:rFonts w:ascii="Times New Roman" w:hAnsi="Times New Roman"/>
          <w:sz w:val="24"/>
          <w:szCs w:val="24"/>
        </w:rPr>
      </w:pPr>
      <w:r w:rsidRPr="00B817D9">
        <w:rPr>
          <w:rFonts w:ascii="Times New Roman" w:hAnsi="Times New Roman"/>
          <w:sz w:val="24"/>
        </w:rPr>
        <w:t>30.</w:t>
      </w:r>
      <w:r w:rsidRPr="00B817D9">
        <w:tab/>
      </w:r>
      <w:r w:rsidRPr="00B817D9">
        <w:rPr>
          <w:rFonts w:ascii="Times New Roman" w:hAnsi="Times New Roman"/>
          <w:sz w:val="24"/>
        </w:rPr>
        <w:t xml:space="preserve">Zgłasza się dzienne wartości za kwartał.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B817D9"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B817D9" w:rsidRDefault="001D7541" w:rsidP="000B66BC">
            <w:pPr>
              <w:pStyle w:val="BodyText1"/>
              <w:spacing w:after="240"/>
              <w:rPr>
                <w:rFonts w:ascii="Times New Roman" w:hAnsi="Times New Roman"/>
                <w:b/>
                <w:bCs/>
                <w:sz w:val="24"/>
                <w:szCs w:val="24"/>
              </w:rPr>
            </w:pPr>
            <w:r w:rsidRPr="00B817D9">
              <w:rPr>
                <w:rFonts w:ascii="Times New Roman" w:hAnsi="Times New Roman"/>
                <w:b/>
                <w:sz w:val="24"/>
              </w:rPr>
              <w:t xml:space="preserve">Wiersz </w:t>
            </w:r>
          </w:p>
          <w:p w14:paraId="4A69CF68" w14:textId="77777777" w:rsidR="001D7541" w:rsidRPr="00B817D9" w:rsidRDefault="001D7541" w:rsidP="000B66BC">
            <w:pPr>
              <w:pStyle w:val="BodyText1"/>
              <w:spacing w:after="240"/>
              <w:rPr>
                <w:rFonts w:ascii="Times New Roman" w:hAnsi="Times New Roman"/>
                <w:bCs/>
                <w:sz w:val="24"/>
                <w:szCs w:val="24"/>
              </w:rPr>
            </w:pPr>
            <w:r w:rsidRPr="00B817D9">
              <w:rPr>
                <w:rFonts w:ascii="Times New Roman" w:hAnsi="Times New Roman"/>
                <w:b/>
                <w:sz w:val="24"/>
              </w:rPr>
              <w:t>i kolumna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B817D9" w:rsidRDefault="00697380" w:rsidP="000B66BC">
            <w:pPr>
              <w:pStyle w:val="BodyText1"/>
              <w:spacing w:after="240" w:line="240" w:lineRule="auto"/>
              <w:rPr>
                <w:rFonts w:ascii="Times New Roman" w:hAnsi="Times New Roman"/>
                <w:b/>
                <w:color w:val="auto"/>
                <w:sz w:val="24"/>
                <w:szCs w:val="24"/>
              </w:rPr>
            </w:pPr>
            <w:r w:rsidRPr="00B817D9">
              <w:rPr>
                <w:rFonts w:ascii="Times New Roman" w:hAnsi="Times New Roman"/>
                <w:b/>
                <w:sz w:val="24"/>
              </w:rPr>
              <w:t>Instrukcje</w:t>
            </w:r>
          </w:p>
        </w:tc>
      </w:tr>
      <w:tr w:rsidR="001D7541" w:rsidRPr="00B817D9"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B817D9" w:rsidRDefault="001D7541" w:rsidP="000B66BC">
            <w:pPr>
              <w:pStyle w:val="BodyText1"/>
              <w:spacing w:after="240"/>
              <w:rPr>
                <w:rFonts w:ascii="Times New Roman" w:hAnsi="Times New Roman"/>
                <w:bCs/>
                <w:sz w:val="24"/>
                <w:szCs w:val="24"/>
              </w:rPr>
            </w:pPr>
            <w:r w:rsidRPr="00B817D9">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203F16B" w:rsidR="001D7541" w:rsidRPr="00B817D9" w:rsidRDefault="001D7541"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Sprawozdawczy dzień odniesienia</w:t>
            </w:r>
            <w:r w:rsidR="00B817D9" w:rsidRPr="00B817D9">
              <w:rPr>
                <w:rFonts w:ascii="Times New Roman" w:hAnsi="Times New Roman"/>
                <w:b/>
                <w:color w:val="auto"/>
                <w:sz w:val="24"/>
              </w:rPr>
              <w:t xml:space="preserve"> w</w:t>
            </w:r>
            <w:r w:rsidR="00B817D9">
              <w:rPr>
                <w:rFonts w:ascii="Times New Roman" w:hAnsi="Times New Roman"/>
                <w:b/>
                <w:color w:val="auto"/>
                <w:sz w:val="24"/>
              </w:rPr>
              <w:t> </w:t>
            </w:r>
            <w:r w:rsidR="00B817D9" w:rsidRPr="00B817D9">
              <w:rPr>
                <w:rFonts w:ascii="Times New Roman" w:hAnsi="Times New Roman"/>
                <w:b/>
                <w:color w:val="auto"/>
                <w:sz w:val="24"/>
              </w:rPr>
              <w:t>okr</w:t>
            </w:r>
            <w:r w:rsidRPr="00B817D9">
              <w:rPr>
                <w:rFonts w:ascii="Times New Roman" w:hAnsi="Times New Roman"/>
                <w:b/>
                <w:color w:val="auto"/>
                <w:sz w:val="24"/>
              </w:rPr>
              <w:t>esie sprawozdawczym</w:t>
            </w:r>
          </w:p>
          <w:p w14:paraId="11691437" w14:textId="6CB0BDCD" w:rsidR="001D7541" w:rsidRPr="00B817D9" w:rsidRDefault="005E0E4A" w:rsidP="000B66BC">
            <w:pPr>
              <w:pStyle w:val="BodyText1"/>
              <w:spacing w:after="240" w:line="240" w:lineRule="auto"/>
              <w:rPr>
                <w:rFonts w:ascii="Times New Roman" w:hAnsi="Times New Roman"/>
                <w:b/>
                <w:color w:val="auto"/>
                <w:sz w:val="24"/>
                <w:szCs w:val="24"/>
              </w:rPr>
            </w:pPr>
            <w:r w:rsidRPr="00B817D9">
              <w:rPr>
                <w:rFonts w:ascii="Times New Roman" w:hAnsi="Times New Roman"/>
                <w:color w:val="auto"/>
                <w:sz w:val="24"/>
              </w:rPr>
              <w:t>Instytucje zgłaszają dzień, którego dotyczy zgłaszana dzienna wartość. Zgłasza się każdy dzień kwartału sprawozdawczego.</w:t>
            </w:r>
          </w:p>
        </w:tc>
      </w:tr>
      <w:tr w:rsidR="001D7541" w:rsidRPr="00B817D9"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B817D9" w:rsidRDefault="001D7541" w:rsidP="000B66BC">
            <w:pPr>
              <w:pStyle w:val="BodyText1"/>
              <w:spacing w:after="240"/>
              <w:rPr>
                <w:rFonts w:ascii="Times New Roman" w:hAnsi="Times New Roman"/>
                <w:bCs/>
                <w:color w:val="auto"/>
                <w:sz w:val="24"/>
                <w:szCs w:val="24"/>
              </w:rPr>
            </w:pPr>
            <w:r w:rsidRPr="00B817D9">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526418F0" w:rsidR="001D7541" w:rsidRPr="00B817D9" w:rsidRDefault="001D7541"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Wartość ekspozycji</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ułu transakcji finansowanych</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uży</w:t>
            </w:r>
            <w:r w:rsidRPr="00B817D9">
              <w:rPr>
                <w:rFonts w:ascii="Times New Roman" w:hAnsi="Times New Roman"/>
                <w:b/>
                <w:color w:val="auto"/>
                <w:sz w:val="24"/>
              </w:rPr>
              <w:t>ciem papierów wartościowych</w:t>
            </w:r>
          </w:p>
          <w:p w14:paraId="56D707C5" w14:textId="1CF00319" w:rsidR="001D7541" w:rsidRPr="00B817D9" w:rsidRDefault="005E0E4A" w:rsidP="000B66BC">
            <w:pPr>
              <w:pStyle w:val="BodyText1"/>
              <w:spacing w:after="240" w:line="240" w:lineRule="auto"/>
              <w:rPr>
                <w:rFonts w:ascii="Times New Roman" w:hAnsi="Times New Roman"/>
                <w:color w:val="auto"/>
                <w:sz w:val="24"/>
                <w:szCs w:val="24"/>
                <w:u w:val="single"/>
              </w:rPr>
            </w:pPr>
            <w:r w:rsidRPr="00B817D9">
              <w:rPr>
                <w:rFonts w:ascii="Times New Roman" w:hAnsi="Times New Roman"/>
                <w:color w:val="auto"/>
                <w:sz w:val="24"/>
              </w:rPr>
              <w:t>Instytucje zgłaszają dzienne wartości</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kwa</w:t>
            </w:r>
            <w:r w:rsidRPr="00B817D9">
              <w:rPr>
                <w:rFonts w:ascii="Times New Roman" w:hAnsi="Times New Roman"/>
                <w:color w:val="auto"/>
                <w:sz w:val="24"/>
              </w:rPr>
              <w:t>rtale sprawozdawczym dotyczące wartości ekspozycji</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tyt</w:t>
            </w:r>
            <w:r w:rsidRPr="00B817D9">
              <w:rPr>
                <w:rFonts w:ascii="Times New Roman" w:hAnsi="Times New Roman"/>
                <w:color w:val="auto"/>
                <w:sz w:val="24"/>
              </w:rPr>
              <w:t>ułu SFT pomniejszonych</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wył</w:t>
            </w:r>
            <w:r w:rsidRPr="00B817D9">
              <w:rPr>
                <w:rFonts w:ascii="Times New Roman" w:hAnsi="Times New Roman"/>
                <w:color w:val="auto"/>
                <w:sz w:val="24"/>
              </w:rPr>
              <w:t>ączone ekspozycje</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tyt</w:t>
            </w:r>
            <w:r w:rsidRPr="00B817D9">
              <w:rPr>
                <w:rFonts w:ascii="Times New Roman" w:hAnsi="Times New Roman"/>
                <w:color w:val="auto"/>
                <w:sz w:val="24"/>
              </w:rPr>
              <w:t>ułu transakcji rozliczanych za pośrednictwem klienta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odn</w:t>
            </w:r>
            <w:r w:rsidRPr="00B817D9">
              <w:rPr>
                <w:rFonts w:ascii="Times New Roman" w:hAnsi="Times New Roman"/>
                <w:color w:val="auto"/>
                <w:sz w:val="24"/>
              </w:rPr>
              <w:t>iesieniu do składnika rozliczanego</w:t>
            </w:r>
            <w:r w:rsidR="00B817D9" w:rsidRPr="00B817D9">
              <w:rPr>
                <w:rFonts w:ascii="Times New Roman" w:hAnsi="Times New Roman"/>
                <w:color w:val="auto"/>
                <w:sz w:val="24"/>
              </w:rPr>
              <w:t xml:space="preserve"> z</w:t>
            </w:r>
            <w:r w:rsidR="00B817D9">
              <w:rPr>
                <w:rFonts w:ascii="Times New Roman" w:hAnsi="Times New Roman"/>
                <w:color w:val="auto"/>
                <w:sz w:val="24"/>
              </w:rPr>
              <w:t> </w:t>
            </w:r>
            <w:r w:rsidR="00B817D9" w:rsidRPr="00B817D9">
              <w:rPr>
                <w:rFonts w:ascii="Times New Roman" w:hAnsi="Times New Roman"/>
                <w:color w:val="auto"/>
                <w:sz w:val="24"/>
              </w:rPr>
              <w:t>kon</w:t>
            </w:r>
            <w:r w:rsidRPr="00B817D9">
              <w:rPr>
                <w:rFonts w:ascii="Times New Roman" w:hAnsi="Times New Roman"/>
                <w:color w:val="auto"/>
                <w:sz w:val="24"/>
              </w:rPr>
              <w:t>trahentem centralnym,</w:t>
            </w:r>
            <w:r w:rsidR="00B817D9" w:rsidRPr="00B817D9">
              <w:rPr>
                <w:rFonts w:ascii="Times New Roman" w:hAnsi="Times New Roman"/>
                <w:color w:val="auto"/>
                <w:sz w:val="24"/>
              </w:rPr>
              <w:t xml:space="preserve"> o</w:t>
            </w:r>
            <w:r w:rsidR="00B817D9">
              <w:rPr>
                <w:rFonts w:ascii="Times New Roman" w:hAnsi="Times New Roman"/>
                <w:color w:val="auto"/>
                <w:sz w:val="24"/>
              </w:rPr>
              <w:t> </w:t>
            </w:r>
            <w:r w:rsidR="00B817D9" w:rsidRPr="00B817D9">
              <w:rPr>
                <w:rFonts w:ascii="Times New Roman" w:hAnsi="Times New Roman"/>
                <w:color w:val="auto"/>
                <w:sz w:val="24"/>
              </w:rPr>
              <w:t>któ</w:t>
            </w:r>
            <w:r w:rsidRPr="00B817D9">
              <w:rPr>
                <w:rFonts w:ascii="Times New Roman" w:hAnsi="Times New Roman"/>
                <w:color w:val="auto"/>
                <w:sz w:val="24"/>
              </w:rPr>
              <w:t>rych mowa</w:t>
            </w:r>
            <w:r w:rsidR="00B817D9" w:rsidRPr="00B817D9">
              <w:rPr>
                <w:rFonts w:ascii="Times New Roman" w:hAnsi="Times New Roman"/>
                <w:color w:val="auto"/>
                <w:sz w:val="24"/>
              </w:rPr>
              <w:t xml:space="preserve"> w</w:t>
            </w:r>
            <w:r w:rsidR="00B817D9">
              <w:rPr>
                <w:rFonts w:ascii="Times New Roman" w:hAnsi="Times New Roman"/>
                <w:color w:val="auto"/>
                <w:sz w:val="24"/>
              </w:rPr>
              <w:t> </w:t>
            </w:r>
            <w:r w:rsidR="00B817D9" w:rsidRPr="00B817D9">
              <w:rPr>
                <w:rFonts w:ascii="Times New Roman" w:hAnsi="Times New Roman"/>
                <w:color w:val="auto"/>
                <w:sz w:val="24"/>
              </w:rPr>
              <w:t>wie</w:t>
            </w:r>
            <w:r w:rsidRPr="00B817D9">
              <w:rPr>
                <w:rFonts w:ascii="Times New Roman" w:hAnsi="Times New Roman"/>
                <w:color w:val="auto"/>
                <w:sz w:val="24"/>
              </w:rPr>
              <w:t>rszach 0010</w:t>
            </w:r>
            <w:r w:rsidR="00B817D9" w:rsidRPr="00B817D9">
              <w:rPr>
                <w:rFonts w:ascii="Times New Roman" w:hAnsi="Times New Roman"/>
                <w:color w:val="auto"/>
                <w:sz w:val="24"/>
              </w:rPr>
              <w:t xml:space="preserve"> i</w:t>
            </w:r>
            <w:r w:rsidR="00B817D9">
              <w:rPr>
                <w:rFonts w:ascii="Times New Roman" w:hAnsi="Times New Roman"/>
                <w:color w:val="auto"/>
                <w:sz w:val="24"/>
              </w:rPr>
              <w:t> </w:t>
            </w:r>
            <w:r w:rsidR="00B817D9" w:rsidRPr="00B817D9">
              <w:rPr>
                <w:rFonts w:ascii="Times New Roman" w:hAnsi="Times New Roman"/>
                <w:color w:val="auto"/>
                <w:sz w:val="24"/>
              </w:rPr>
              <w:t>0</w:t>
            </w:r>
            <w:r w:rsidRPr="00B817D9">
              <w:rPr>
                <w:rFonts w:ascii="Times New Roman" w:hAnsi="Times New Roman"/>
                <w:color w:val="auto"/>
                <w:sz w:val="24"/>
              </w:rPr>
              <w:t>050 wzoru C47.00.</w:t>
            </w:r>
          </w:p>
        </w:tc>
      </w:tr>
      <w:tr w:rsidR="001D7541" w:rsidRPr="00B817D9"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B817D9" w:rsidRDefault="001D7541" w:rsidP="000B66BC">
            <w:pPr>
              <w:pStyle w:val="BodyText1"/>
              <w:spacing w:after="240"/>
              <w:rPr>
                <w:rFonts w:ascii="Times New Roman" w:hAnsi="Times New Roman"/>
                <w:bCs/>
                <w:sz w:val="24"/>
                <w:szCs w:val="24"/>
              </w:rPr>
            </w:pPr>
            <w:r w:rsidRPr="00B817D9">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0F2A349F" w:rsidR="001D7541" w:rsidRPr="00B817D9" w:rsidRDefault="00640D9C" w:rsidP="000B66BC">
            <w:pPr>
              <w:pStyle w:val="BodyText1"/>
              <w:spacing w:after="240" w:line="240" w:lineRule="auto"/>
              <w:rPr>
                <w:rFonts w:ascii="Times New Roman" w:hAnsi="Times New Roman"/>
                <w:b/>
                <w:color w:val="auto"/>
                <w:sz w:val="24"/>
                <w:szCs w:val="24"/>
              </w:rPr>
            </w:pPr>
            <w:r w:rsidRPr="00B817D9">
              <w:rPr>
                <w:rFonts w:ascii="Times New Roman" w:hAnsi="Times New Roman"/>
                <w:b/>
                <w:color w:val="auto"/>
                <w:sz w:val="24"/>
              </w:rPr>
              <w:t>Korekty</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tyt</w:t>
            </w:r>
            <w:r w:rsidRPr="00B817D9">
              <w:rPr>
                <w:rFonts w:ascii="Times New Roman" w:hAnsi="Times New Roman"/>
                <w:b/>
                <w:color w:val="auto"/>
                <w:sz w:val="24"/>
              </w:rPr>
              <w:t>ułu transakcji finansowanych</w:t>
            </w:r>
            <w:r w:rsidR="00B817D9" w:rsidRPr="00B817D9">
              <w:rPr>
                <w:rFonts w:ascii="Times New Roman" w:hAnsi="Times New Roman"/>
                <w:b/>
                <w:color w:val="auto"/>
                <w:sz w:val="24"/>
              </w:rPr>
              <w:t xml:space="preserve"> z</w:t>
            </w:r>
            <w:r w:rsidR="00B817D9">
              <w:rPr>
                <w:rFonts w:ascii="Times New Roman" w:hAnsi="Times New Roman"/>
                <w:b/>
                <w:color w:val="auto"/>
                <w:sz w:val="24"/>
              </w:rPr>
              <w:t> </w:t>
            </w:r>
            <w:r w:rsidR="00B817D9" w:rsidRPr="00B817D9">
              <w:rPr>
                <w:rFonts w:ascii="Times New Roman" w:hAnsi="Times New Roman"/>
                <w:b/>
                <w:color w:val="auto"/>
                <w:sz w:val="24"/>
              </w:rPr>
              <w:t>uży</w:t>
            </w:r>
            <w:r w:rsidRPr="00B817D9">
              <w:rPr>
                <w:rFonts w:ascii="Times New Roman" w:hAnsi="Times New Roman"/>
                <w:b/>
                <w:color w:val="auto"/>
                <w:sz w:val="24"/>
              </w:rPr>
              <w:t>ciem papierów wartościowych traktowanych jako sprzedaż do celów księgowych</w:t>
            </w:r>
          </w:p>
          <w:p w14:paraId="757C080D" w14:textId="55565FE4" w:rsidR="00926849" w:rsidRPr="00B817D9" w:rsidRDefault="005E0E4A" w:rsidP="000B66BC">
            <w:pPr>
              <w:pStyle w:val="BodyText1"/>
              <w:spacing w:after="240" w:line="240" w:lineRule="auto"/>
              <w:rPr>
                <w:rFonts w:ascii="Times New Roman" w:hAnsi="Times New Roman"/>
                <w:color w:val="auto"/>
                <w:sz w:val="24"/>
                <w:szCs w:val="24"/>
                <w:u w:val="single"/>
              </w:rPr>
            </w:pPr>
            <w:r w:rsidRPr="00B817D9">
              <w:rPr>
                <w:rFonts w:ascii="Times New Roman" w:hAnsi="Times New Roman"/>
                <w:sz w:val="24"/>
              </w:rPr>
              <w:lastRenderedPageBreak/>
              <w:t>Instytucje zgłaszają dzienne wartości</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kwa</w:t>
            </w:r>
            <w:r w:rsidRPr="00B817D9">
              <w:rPr>
                <w:rFonts w:ascii="Times New Roman" w:hAnsi="Times New Roman"/>
                <w:sz w:val="24"/>
              </w:rPr>
              <w:t>rtale sprawozdawczym dotyczące korekt</w:t>
            </w:r>
            <w:r w:rsidR="00B817D9" w:rsidRPr="00B817D9">
              <w:rPr>
                <w:rFonts w:ascii="Times New Roman" w:hAnsi="Times New Roman"/>
                <w:sz w:val="24"/>
              </w:rPr>
              <w:t xml:space="preserve"> z</w:t>
            </w:r>
            <w:r w:rsidR="00B817D9">
              <w:rPr>
                <w:rFonts w:ascii="Times New Roman" w:hAnsi="Times New Roman"/>
                <w:sz w:val="24"/>
              </w:rPr>
              <w:t> </w:t>
            </w:r>
            <w:r w:rsidR="00B817D9" w:rsidRPr="00B817D9">
              <w:rPr>
                <w:rFonts w:ascii="Times New Roman" w:hAnsi="Times New Roman"/>
                <w:sz w:val="24"/>
              </w:rPr>
              <w:t>tyt</w:t>
            </w:r>
            <w:r w:rsidRPr="00B817D9">
              <w:rPr>
                <w:rFonts w:ascii="Times New Roman" w:hAnsi="Times New Roman"/>
                <w:sz w:val="24"/>
              </w:rPr>
              <w:t>ułu SFT traktowanych jako sprzedaż do celów księgowych, określonych</w:t>
            </w:r>
            <w:r w:rsidR="00B817D9" w:rsidRPr="00B817D9">
              <w:rPr>
                <w:rFonts w:ascii="Times New Roman" w:hAnsi="Times New Roman"/>
                <w:sz w:val="24"/>
              </w:rPr>
              <w:t xml:space="preserve"> w</w:t>
            </w:r>
            <w:r w:rsidR="00B817D9">
              <w:rPr>
                <w:rFonts w:ascii="Times New Roman" w:hAnsi="Times New Roman"/>
                <w:sz w:val="24"/>
              </w:rPr>
              <w:t> </w:t>
            </w:r>
            <w:r w:rsidR="00B817D9" w:rsidRPr="00B817D9">
              <w:rPr>
                <w:rFonts w:ascii="Times New Roman" w:hAnsi="Times New Roman"/>
                <w:sz w:val="24"/>
              </w:rPr>
              <w:t>wie</w:t>
            </w:r>
            <w:r w:rsidRPr="00B817D9">
              <w:rPr>
                <w:rFonts w:ascii="Times New Roman" w:hAnsi="Times New Roman"/>
                <w:sz w:val="24"/>
              </w:rPr>
              <w:t>rszu 0230 wzoru C47.00.</w:t>
            </w:r>
          </w:p>
        </w:tc>
      </w:tr>
    </w:tbl>
    <w:p w14:paraId="49B21AC1" w14:textId="77777777" w:rsidR="0009615C" w:rsidRPr="00B817D9" w:rsidRDefault="0009615C" w:rsidP="000B66BC">
      <w:pPr>
        <w:pStyle w:val="BodyText1"/>
        <w:spacing w:after="240"/>
        <w:rPr>
          <w:rFonts w:ascii="Times New Roman" w:hAnsi="Times New Roman"/>
          <w:sz w:val="24"/>
          <w:szCs w:val="24"/>
        </w:rPr>
      </w:pPr>
    </w:p>
    <w:sectPr w:rsidR="0009615C" w:rsidRPr="00B817D9"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Pr="00B817D9" w:rsidRDefault="00246A51">
      <w:r w:rsidRPr="00B817D9">
        <w:separator/>
      </w:r>
    </w:p>
  </w:endnote>
  <w:endnote w:type="continuationSeparator" w:id="0">
    <w:p w14:paraId="48B49365" w14:textId="77777777" w:rsidR="00246A51" w:rsidRPr="00B817D9" w:rsidRDefault="00246A51">
      <w:r w:rsidRPr="00B817D9">
        <w:continuationSeparator/>
      </w:r>
    </w:p>
  </w:endnote>
  <w:endnote w:type="continuationNotice" w:id="1">
    <w:p w14:paraId="2F022A14" w14:textId="77777777" w:rsidR="00246A51" w:rsidRPr="00B817D9"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B817D9" w:rsidRDefault="000B66BC">
    <w:pPr>
      <w:pStyle w:val="Footer"/>
      <w:jc w:val="right"/>
      <w:rPr>
        <w:rFonts w:ascii="Times New Roman" w:hAnsi="Times New Roman"/>
      </w:rPr>
    </w:pPr>
    <w:r w:rsidRPr="00B817D9">
      <w:rPr>
        <w:rFonts w:ascii="Times New Roman" w:hAnsi="Times New Roman"/>
      </w:rPr>
      <w:fldChar w:fldCharType="begin"/>
    </w:r>
    <w:r w:rsidRPr="00B817D9">
      <w:rPr>
        <w:rFonts w:ascii="Times New Roman" w:hAnsi="Times New Roman"/>
      </w:rPr>
      <w:instrText xml:space="preserve"> PAGE   \* MERGEFORMAT </w:instrText>
    </w:r>
    <w:r w:rsidRPr="00B817D9">
      <w:rPr>
        <w:rFonts w:ascii="Times New Roman" w:hAnsi="Times New Roman"/>
      </w:rPr>
      <w:fldChar w:fldCharType="separate"/>
    </w:r>
    <w:r w:rsidRPr="00B817D9">
      <w:rPr>
        <w:rFonts w:ascii="Times New Roman" w:hAnsi="Times New Roman"/>
      </w:rPr>
      <w:t>2</w:t>
    </w:r>
    <w:r w:rsidRPr="00B817D9">
      <w:rPr>
        <w:rFonts w:ascii="Times New Roman" w:hAnsi="Times New Roman"/>
      </w:rPr>
      <w:fldChar w:fldCharType="end"/>
    </w:r>
  </w:p>
  <w:p w14:paraId="2D971917" w14:textId="77777777" w:rsidR="000B66BC" w:rsidRPr="00B817D9"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sdtContent>
      <w:p w14:paraId="5677655A" w14:textId="0638364B" w:rsidR="000B66BC" w:rsidRPr="00B817D9" w:rsidRDefault="000B66BC">
        <w:pPr>
          <w:pStyle w:val="Footer"/>
          <w:jc w:val="center"/>
        </w:pPr>
        <w:r w:rsidRPr="00B817D9">
          <w:fldChar w:fldCharType="begin"/>
        </w:r>
        <w:r w:rsidRPr="00B817D9">
          <w:instrText xml:space="preserve"> PAGE   \* MERGEFORMAT </w:instrText>
        </w:r>
        <w:r w:rsidRPr="00B817D9">
          <w:fldChar w:fldCharType="separate"/>
        </w:r>
        <w:r w:rsidRPr="00B817D9">
          <w:t>1</w:t>
        </w:r>
        <w:r w:rsidRPr="00B817D9">
          <w:fldChar w:fldCharType="end"/>
        </w:r>
      </w:p>
    </w:sdtContent>
  </w:sdt>
  <w:p w14:paraId="3D7804EA" w14:textId="77777777" w:rsidR="000B66BC" w:rsidRPr="00B817D9"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B817D9" w:rsidRDefault="00246A51" w:rsidP="00C7701D">
      <w:r w:rsidRPr="00B817D9">
        <w:continuationSeparator/>
      </w:r>
    </w:p>
  </w:footnote>
  <w:footnote w:type="continuationSeparator" w:id="0">
    <w:p w14:paraId="668A8285" w14:textId="77777777" w:rsidR="00246A51" w:rsidRPr="00B817D9" w:rsidRDefault="00246A51">
      <w:r w:rsidRPr="00B817D9">
        <w:continuationSeparator/>
      </w:r>
    </w:p>
  </w:footnote>
  <w:footnote w:type="continuationNotice" w:id="1">
    <w:p w14:paraId="191D2AE9" w14:textId="77777777" w:rsidR="00246A51" w:rsidRPr="00B817D9"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Pr="00B817D9" w:rsidRDefault="001F5E87">
    <w:pPr>
      <w:pStyle w:val="Header"/>
    </w:pPr>
    <w:r w:rsidRPr="00B817D9">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UNB – Standardowe wykorzystani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817D9" w:rsidRDefault="001F5E87" w:rsidP="00B93D0F">
    <w:pPr>
      <w:pStyle w:val="Header"/>
    </w:pPr>
    <w:r w:rsidRPr="00B817D9">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UNB – Standardowe wykorzystani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B817D9" w:rsidRDefault="001F5E87" w:rsidP="000B66BC">
    <w:pPr>
      <w:pStyle w:val="Header"/>
    </w:pPr>
    <w:r w:rsidRPr="00B817D9">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UNB – Standardowe wykorzystani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UNB – Standardowe wykorzystani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UNB – Standardowe wykorzystani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UNB – Standardowe wykorzystani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EUNB – Standardowe wykorzystanie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pl-PL" w:vendorID="64" w:dllVersion="0" w:nlCheck="1" w:checkStyle="0"/>
  <w:activeWritingStyle w:appName="MSWord" w:lang="en-IE" w:vendorID="64" w:dllVersion="0"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65A8"/>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1993"/>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3E15"/>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1B8"/>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29"/>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87E47"/>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3C0F"/>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17D9"/>
    <w:rsid w:val="00B82CD3"/>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56C"/>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1F7A"/>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l-P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l-PL"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l-PL"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2.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3.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4.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5.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6.xml><?xml version="1.0" encoding="utf-8"?>
<ds:datastoreItem xmlns:ds="http://schemas.openxmlformats.org/officeDocument/2006/customXml" ds:itemID="{D86A0C35-5671-4EBC-8781-78FF77FF49C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79</Pages>
  <Words>21496</Words>
  <Characters>146821</Characters>
  <Application>Microsoft Office Word</Application>
  <DocSecurity>0</DocSecurity>
  <Lines>3262</Lines>
  <Paragraphs>1489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166828</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2025-01-23T18:34:54Z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c75e8bb7-e7c0-4cdc-928a-589e536f1853</vt:lpwstr>
  </property>
  <property fmtid="{D5CDD505-2E9C-101B-9397-08002B2CF9AE}" pid="12" name="MSIP_Label_6bd9ddd1-4d20-43f6-abfa-fc3c07406f94_ContentBits">
    <vt:lpwstr>0</vt:lpwstr>
  </property>
</Properties>
</file>